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558E" w14:textId="4CB7BCC7" w:rsidR="003A5AA7" w:rsidRPr="00A51502" w:rsidRDefault="003A5AA7">
      <w:r w:rsidRPr="00A51502">
        <w:rPr>
          <w:rFonts w:cs="Arial"/>
          <w:noProof/>
          <w:sz w:val="24"/>
          <w:szCs w:val="24"/>
          <w:lang w:eastAsia="en-GB"/>
        </w:rPr>
        <w:drawing>
          <wp:anchor distT="0" distB="0" distL="114300" distR="114300" simplePos="0" relativeHeight="251659264" behindDoc="1" locked="0" layoutInCell="1" allowOverlap="1" wp14:anchorId="60DFBEE8" wp14:editId="3E4E33E7">
            <wp:simplePos x="0" y="0"/>
            <wp:positionH relativeFrom="margin">
              <wp:posOffset>4348251</wp:posOffset>
            </wp:positionH>
            <wp:positionV relativeFrom="paragraph">
              <wp:posOffset>-253365</wp:posOffset>
            </wp:positionV>
            <wp:extent cx="2044938" cy="628650"/>
            <wp:effectExtent l="0" t="0" r="0" b="0"/>
            <wp:wrapNone/>
            <wp:docPr id="3" name="Picture 1" descr="\\scvo.org.local\data\Tenants\Socialwork Scotland\Logos\Social Work Scotland\Colour Map logo st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vo.org.local\data\Tenants\Socialwork Scotland\Logos\Social Work Scotland\Colour Map logo stra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9295" cy="6299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29E8" w14:textId="77777777" w:rsidR="00714D6D" w:rsidRDefault="00714D6D"/>
    <w:p w14:paraId="61BB3A72" w14:textId="77777777" w:rsidR="007D4B65" w:rsidRPr="00A51502" w:rsidRDefault="007D4B6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2"/>
      </w:tblGrid>
      <w:tr w:rsidR="00A51502" w:rsidRPr="00A51502" w14:paraId="220A1907" w14:textId="77777777" w:rsidTr="00580B07">
        <w:tc>
          <w:tcPr>
            <w:tcW w:w="846" w:type="dxa"/>
          </w:tcPr>
          <w:p w14:paraId="6ECF0933" w14:textId="77777777" w:rsidR="00580B07" w:rsidRPr="00A51502" w:rsidRDefault="00580B07" w:rsidP="00580B07">
            <w:r w:rsidRPr="00A51502">
              <w:t xml:space="preserve">To: </w:t>
            </w:r>
          </w:p>
          <w:p w14:paraId="0079AD9E" w14:textId="77777777" w:rsidR="00580B07" w:rsidRPr="00A51502" w:rsidRDefault="00580B07"/>
        </w:tc>
        <w:tc>
          <w:tcPr>
            <w:tcW w:w="8782" w:type="dxa"/>
          </w:tcPr>
          <w:p w14:paraId="647CF9C3" w14:textId="2CCFB2E9" w:rsidR="00580B07" w:rsidRPr="00A51502" w:rsidRDefault="00580B07" w:rsidP="00580B07">
            <w:r w:rsidRPr="00A51502">
              <w:t>Social Work Scotland Board</w:t>
            </w:r>
            <w:r w:rsidR="00BA4E47" w:rsidRPr="00A51502">
              <w:t xml:space="preserve"> </w:t>
            </w:r>
          </w:p>
          <w:p w14:paraId="2986A9A0" w14:textId="49D5DEC3" w:rsidR="00580B07" w:rsidRPr="00A51502" w:rsidRDefault="00580B07" w:rsidP="00580B07">
            <w:r w:rsidRPr="00A51502">
              <w:t>Chief Social Work Officers’ Committee</w:t>
            </w:r>
            <w:r w:rsidR="00BA4E47" w:rsidRPr="00A51502">
              <w:t xml:space="preserve"> </w:t>
            </w:r>
          </w:p>
          <w:p w14:paraId="570626C4" w14:textId="49F54623" w:rsidR="00580B07" w:rsidRPr="00A51502" w:rsidRDefault="00580B07" w:rsidP="00580B07">
            <w:r w:rsidRPr="00A51502">
              <w:t>Workforce and Resources Standing Committee</w:t>
            </w:r>
          </w:p>
        </w:tc>
      </w:tr>
    </w:tbl>
    <w:p w14:paraId="3B492A9F" w14:textId="12C5102F" w:rsidR="003A5AA7" w:rsidRPr="00A51502" w:rsidRDefault="0017586F" w:rsidP="00507F10">
      <w:pPr>
        <w:jc w:val="right"/>
        <w:rPr>
          <w:b/>
          <w:bCs/>
        </w:rPr>
      </w:pPr>
      <w:r>
        <w:rPr>
          <w:b/>
          <w:bCs/>
        </w:rPr>
        <w:t>9</w:t>
      </w:r>
      <w:r w:rsidR="004E78E4" w:rsidRPr="00A51502">
        <w:rPr>
          <w:b/>
          <w:bCs/>
        </w:rPr>
        <w:t xml:space="preserve"> </w:t>
      </w:r>
      <w:r w:rsidR="00A51502" w:rsidRPr="00A51502">
        <w:rPr>
          <w:b/>
          <w:bCs/>
        </w:rPr>
        <w:t>March</w:t>
      </w:r>
      <w:r w:rsidR="00507F10" w:rsidRPr="00A51502">
        <w:rPr>
          <w:b/>
          <w:bCs/>
        </w:rPr>
        <w:t xml:space="preserve"> 202</w:t>
      </w:r>
      <w:r w:rsidR="00B95E04" w:rsidRPr="00A51502">
        <w:rPr>
          <w:b/>
          <w:bCs/>
        </w:rPr>
        <w:t>6</w:t>
      </w:r>
    </w:p>
    <w:p w14:paraId="36BF7221" w14:textId="77777777" w:rsidR="004A0C5E" w:rsidRDefault="004A0C5E">
      <w:pPr>
        <w:rPr>
          <w:b/>
          <w:bCs/>
          <w:sz w:val="24"/>
          <w:szCs w:val="24"/>
        </w:rPr>
      </w:pPr>
    </w:p>
    <w:p w14:paraId="0CEE1C27" w14:textId="77777777" w:rsidR="0017586F" w:rsidRDefault="0017586F">
      <w:pPr>
        <w:rPr>
          <w:b/>
          <w:bCs/>
          <w:sz w:val="24"/>
          <w:szCs w:val="24"/>
        </w:rPr>
      </w:pPr>
    </w:p>
    <w:p w14:paraId="3DCEA7D6" w14:textId="010587D1" w:rsidR="00C16A9A" w:rsidRPr="00A51502" w:rsidRDefault="00A51502">
      <w:pPr>
        <w:rPr>
          <w:b/>
          <w:bCs/>
          <w:sz w:val="24"/>
          <w:szCs w:val="24"/>
          <w:u w:val="single"/>
        </w:rPr>
      </w:pPr>
      <w:r w:rsidRPr="00A51502">
        <w:rPr>
          <w:b/>
          <w:bCs/>
          <w:sz w:val="24"/>
          <w:szCs w:val="24"/>
          <w:u w:val="single"/>
        </w:rPr>
        <w:t xml:space="preserve">REVISED </w:t>
      </w:r>
      <w:r w:rsidR="0017586F">
        <w:rPr>
          <w:b/>
          <w:bCs/>
          <w:sz w:val="24"/>
          <w:szCs w:val="24"/>
          <w:u w:val="single"/>
        </w:rPr>
        <w:t xml:space="preserve">&amp; UPDATED </w:t>
      </w:r>
      <w:r w:rsidRPr="00A51502">
        <w:rPr>
          <w:b/>
          <w:bCs/>
          <w:sz w:val="24"/>
          <w:szCs w:val="24"/>
          <w:u w:val="single"/>
        </w:rPr>
        <w:t>BRIEFING PAPER</w:t>
      </w:r>
      <w:r w:rsidR="0017586F">
        <w:rPr>
          <w:rStyle w:val="FootnoteReference"/>
          <w:b/>
          <w:bCs/>
          <w:sz w:val="24"/>
          <w:szCs w:val="24"/>
          <w:u w:val="single"/>
        </w:rPr>
        <w:footnoteReference w:id="1"/>
      </w:r>
      <w:r w:rsidRPr="00A51502">
        <w:rPr>
          <w:b/>
          <w:bCs/>
          <w:sz w:val="24"/>
          <w:szCs w:val="24"/>
          <w:u w:val="single"/>
        </w:rPr>
        <w:t xml:space="preserve"> </w:t>
      </w:r>
    </w:p>
    <w:p w14:paraId="21B09947" w14:textId="6E8A3636" w:rsidR="003A5AA7" w:rsidRPr="00A51502" w:rsidRDefault="005C4210">
      <w:pPr>
        <w:rPr>
          <w:b/>
          <w:bCs/>
          <w:sz w:val="26"/>
          <w:szCs w:val="26"/>
        </w:rPr>
      </w:pPr>
      <w:r w:rsidRPr="00A51502">
        <w:rPr>
          <w:b/>
          <w:bCs/>
          <w:sz w:val="26"/>
          <w:szCs w:val="26"/>
        </w:rPr>
        <w:t>FUNDING FOR LOCAL GOVERNMENT SOCIAL WORK AND SOCIAL CARE SERVICES IN 202</w:t>
      </w:r>
      <w:r w:rsidR="004E78E4" w:rsidRPr="00A51502">
        <w:rPr>
          <w:b/>
          <w:bCs/>
          <w:sz w:val="26"/>
          <w:szCs w:val="26"/>
        </w:rPr>
        <w:t>6</w:t>
      </w:r>
      <w:r w:rsidRPr="00A51502">
        <w:rPr>
          <w:b/>
          <w:bCs/>
          <w:sz w:val="26"/>
          <w:szCs w:val="26"/>
        </w:rPr>
        <w:t>-2</w:t>
      </w:r>
      <w:r w:rsidR="004E78E4" w:rsidRPr="00A51502">
        <w:rPr>
          <w:b/>
          <w:bCs/>
          <w:sz w:val="26"/>
          <w:szCs w:val="26"/>
        </w:rPr>
        <w:t>7</w:t>
      </w:r>
    </w:p>
    <w:p w14:paraId="1941459C" w14:textId="77777777" w:rsidR="00742EC6" w:rsidRPr="00F8704C" w:rsidRDefault="00742EC6"/>
    <w:p w14:paraId="6FB9D8D8" w14:textId="67355FCF" w:rsidR="00F8704C" w:rsidRDefault="00F8704C" w:rsidP="00F8704C">
      <w:r>
        <w:t>As in previous years, the local government finance settlement for 2026-27 yet again fails to deliver the additional capacity needed for social work and social care</w:t>
      </w:r>
      <w:r w:rsidR="00E51C25">
        <w:t xml:space="preserve"> in Scotland</w:t>
      </w:r>
      <w:r>
        <w:t xml:space="preserve">. </w:t>
      </w:r>
      <w:r w:rsidR="008613A9">
        <w:t>This</w:t>
      </w:r>
      <w:r>
        <w:t xml:space="preserve"> </w:t>
      </w:r>
      <w:r w:rsidR="00E51C25">
        <w:t xml:space="preserve">updated </w:t>
      </w:r>
      <w:r>
        <w:t xml:space="preserve">SWS Briefing </w:t>
      </w:r>
      <w:r w:rsidR="004A5A98">
        <w:t xml:space="preserve">provides </w:t>
      </w:r>
      <w:r w:rsidR="008613A9">
        <w:t>the</w:t>
      </w:r>
      <w:r>
        <w:t xml:space="preserve"> information we have on </w:t>
      </w:r>
      <w:r w:rsidR="00CB3202">
        <w:t xml:space="preserve">the limited </w:t>
      </w:r>
      <w:r>
        <w:t>addition</w:t>
      </w:r>
      <w:r w:rsidR="00CB3202">
        <w:t>al funding</w:t>
      </w:r>
      <w:r>
        <w:t xml:space="preserve"> for social work and social care services, </w:t>
      </w:r>
      <w:r w:rsidR="00CB3202">
        <w:t xml:space="preserve">including </w:t>
      </w:r>
      <w:r>
        <w:t>where possible the distributions</w:t>
      </w:r>
      <w:r>
        <w:rPr>
          <w:rStyle w:val="FootnoteReference"/>
        </w:rPr>
        <w:footnoteReference w:id="2"/>
      </w:r>
      <w:r>
        <w:t xml:space="preserve"> to each council.</w:t>
      </w:r>
    </w:p>
    <w:p w14:paraId="24E16D8C" w14:textId="77777777" w:rsidR="00F8704C" w:rsidRPr="00F8704C" w:rsidRDefault="00F8704C"/>
    <w:p w14:paraId="0EEFB317" w14:textId="3F1107C3" w:rsidR="00A51502" w:rsidRDefault="00A51502">
      <w:r w:rsidRPr="00A51502">
        <w:t>The revised Local Government finance settlement circular</w:t>
      </w:r>
      <w:r w:rsidR="007D4B65">
        <w:rPr>
          <w:rStyle w:val="FootnoteReference"/>
        </w:rPr>
        <w:footnoteReference w:id="3"/>
      </w:r>
      <w:r w:rsidRPr="00A51502">
        <w:t xml:space="preserve"> was issued </w:t>
      </w:r>
      <w:r w:rsidR="00B5278A">
        <w:t>following</w:t>
      </w:r>
      <w:r w:rsidRPr="00A51502">
        <w:t xml:space="preserve"> the Scottish Parliament’s debate on the Local Government Finance Order on 26 February.  </w:t>
      </w:r>
      <w:r w:rsidR="002751E6">
        <w:t>Parliament had agreed t</w:t>
      </w:r>
      <w:r w:rsidRPr="00A51502">
        <w:t xml:space="preserve">he Scottish Budget the </w:t>
      </w:r>
      <w:r w:rsidR="007D4B65">
        <w:t>previous</w:t>
      </w:r>
      <w:r w:rsidRPr="00A51502">
        <w:t xml:space="preserve"> day, with £20M added for “social care” to roll back the change in how the Real Living Wage uplift costs had been calculated. </w:t>
      </w:r>
    </w:p>
    <w:p w14:paraId="4C8F3C68" w14:textId="77777777" w:rsidR="00034FAC" w:rsidRDefault="00034FAC"/>
    <w:p w14:paraId="6096DEBE" w14:textId="7507CB04" w:rsidR="00034FAC" w:rsidRDefault="00D87589">
      <w:r>
        <w:t>However, because this £20M, and another £84</w:t>
      </w:r>
      <w:r w:rsidR="00CB3202">
        <w:t>M</w:t>
      </w:r>
      <w:r>
        <w:t xml:space="preserve"> of local government revenue funding, were not in the </w:t>
      </w:r>
      <w:r w:rsidRPr="00A51502">
        <w:t>Local Government Finance Order</w:t>
      </w:r>
      <w:r>
        <w:t xml:space="preserve">, these sums will be treated as “redeterminations” for 2026-27 following their agreement by Parliament in next year’s </w:t>
      </w:r>
      <w:r w:rsidRPr="00A51502">
        <w:t>Local Government Finance Order</w:t>
      </w:r>
      <w:r>
        <w:t xml:space="preserve"> in early </w:t>
      </w:r>
      <w:r w:rsidRPr="00D87589">
        <w:t>2027.  As Shona Robison, Cabinet Secretary for Finance and Local Government</w:t>
      </w:r>
      <w:r>
        <w:t>, explained to Parliament</w:t>
      </w:r>
      <w:r>
        <w:rPr>
          <w:rStyle w:val="FootnoteReference"/>
        </w:rPr>
        <w:footnoteReference w:id="4"/>
      </w:r>
      <w:r>
        <w:t>:</w:t>
      </w:r>
    </w:p>
    <w:p w14:paraId="4D16D009" w14:textId="4AE377D5" w:rsidR="00034FAC" w:rsidRPr="00D87589" w:rsidRDefault="00034FAC" w:rsidP="00D87589">
      <w:pPr>
        <w:ind w:left="720"/>
        <w:rPr>
          <w:sz w:val="21"/>
          <w:szCs w:val="21"/>
        </w:rPr>
      </w:pPr>
      <w:r w:rsidRPr="00D87589">
        <w:rPr>
          <w:sz w:val="21"/>
          <w:szCs w:val="21"/>
        </w:rPr>
        <w:t>A further £104 million of revenue funding remains, which local authorities will be notified about once the distribution has been discussed and agreed with COSLA and included for approval in the local government finance order in 2027. That figure includes the £20 million of additional funding that was announced at stage 1 of this year’s budget bill process. Specific revenue funding of almost £222 million is also paid directly by the relevant policy areas, under separate legislation.</w:t>
      </w:r>
      <w:r w:rsidR="00E805CD">
        <w:rPr>
          <w:sz w:val="21"/>
          <w:szCs w:val="21"/>
        </w:rPr>
        <w:t xml:space="preserve"> </w:t>
      </w:r>
    </w:p>
    <w:p w14:paraId="1B33449A" w14:textId="77777777" w:rsidR="00034FAC" w:rsidRDefault="00034FAC"/>
    <w:p w14:paraId="2557A704" w14:textId="0E2F1EC8" w:rsidR="00E805CD" w:rsidRPr="000C23A0" w:rsidRDefault="00E805CD">
      <w:r w:rsidRPr="000C23A0">
        <w:t>So, for additional funding for social work and social care services, there are three categories to consider:</w:t>
      </w:r>
    </w:p>
    <w:p w14:paraId="40CEBB36" w14:textId="6F118300" w:rsidR="00E805CD" w:rsidRPr="000C23A0" w:rsidRDefault="00E805CD" w:rsidP="00E805CD">
      <w:pPr>
        <w:pStyle w:val="ListParagraph"/>
        <w:numPr>
          <w:ilvl w:val="0"/>
          <w:numId w:val="16"/>
        </w:numPr>
      </w:pPr>
      <w:r w:rsidRPr="000C23A0">
        <w:t xml:space="preserve">Funding within the main local government settlement </w:t>
      </w:r>
      <w:r w:rsidR="00E234B5">
        <w:t xml:space="preserve">for 2026-27 </w:t>
      </w:r>
      <w:r w:rsidRPr="000C23A0">
        <w:t xml:space="preserve">and therefore within the council budgets currently being </w:t>
      </w:r>
      <w:r w:rsidR="008613A9">
        <w:t>agreed</w:t>
      </w:r>
      <w:r w:rsidR="00E234B5">
        <w:t>:</w:t>
      </w:r>
      <w:r w:rsidR="00E75F60" w:rsidRPr="000C23A0">
        <w:t xml:space="preserve"> in terms of additions, that will include for example the funding already notified for the Real Living Wage;</w:t>
      </w:r>
    </w:p>
    <w:p w14:paraId="60509348" w14:textId="55832F8B" w:rsidR="00E805CD" w:rsidRPr="000C23A0" w:rsidRDefault="00E805CD" w:rsidP="00E805CD">
      <w:pPr>
        <w:pStyle w:val="ListParagraph"/>
        <w:numPr>
          <w:ilvl w:val="0"/>
          <w:numId w:val="16"/>
        </w:numPr>
      </w:pPr>
      <w:r w:rsidRPr="000C23A0">
        <w:t>Local government funding within the redeterminations for 2026-27</w:t>
      </w:r>
      <w:r w:rsidR="00E234B5">
        <w:t xml:space="preserve"> (after Parliament agrees next year’s Local Government Finance Order) which also need to be in council budgets for 2026-27.  As</w:t>
      </w:r>
      <w:r w:rsidR="00E75F60" w:rsidRPr="000C23A0">
        <w:t xml:space="preserve"> well as</w:t>
      </w:r>
      <w:r w:rsidRPr="000C23A0">
        <w:t xml:space="preserve"> the additional </w:t>
      </w:r>
      <w:r w:rsidR="00E75F60" w:rsidRPr="000C23A0">
        <w:t xml:space="preserve">£20M </w:t>
      </w:r>
      <w:r w:rsidRPr="000C23A0">
        <w:t xml:space="preserve">funding for </w:t>
      </w:r>
      <w:r w:rsidR="00E75F60" w:rsidRPr="000C23A0">
        <w:t xml:space="preserve">the Real Living Wage we </w:t>
      </w:r>
      <w:r w:rsidR="007E5BC7">
        <w:t>understand</w:t>
      </w:r>
      <w:r w:rsidR="00E75F60" w:rsidRPr="000C23A0">
        <w:t xml:space="preserve"> that this also includes £3.808m for Care Leavers Payments, and £3.5m for the Children Care &amp; Justice (Scotland) Act implementation.</w:t>
      </w:r>
    </w:p>
    <w:p w14:paraId="721E632A" w14:textId="474F9322" w:rsidR="00E75F60" w:rsidRPr="000C23A0" w:rsidRDefault="00E75F60" w:rsidP="00E805CD">
      <w:pPr>
        <w:pStyle w:val="ListParagraph"/>
        <w:numPr>
          <w:ilvl w:val="0"/>
          <w:numId w:val="16"/>
        </w:numPr>
      </w:pPr>
      <w:r w:rsidRPr="000C23A0">
        <w:t>Further funding of “almost £222 million”</w:t>
      </w:r>
      <w:r w:rsidR="00CB3202">
        <w:t xml:space="preserve"> (in total across all services, not just social work and social care)</w:t>
      </w:r>
      <w:r w:rsidRPr="000C23A0">
        <w:t xml:space="preserve"> transferred to local government from other Scottish Budget portfolios</w:t>
      </w:r>
      <w:r w:rsidR="000C5B00" w:rsidRPr="000C23A0">
        <w:t xml:space="preserve"> and therefore </w:t>
      </w:r>
      <w:proofErr w:type="spellStart"/>
      <w:r w:rsidR="000C5B00" w:rsidRPr="000C23A0">
        <w:t>outwith</w:t>
      </w:r>
      <w:proofErr w:type="spellEnd"/>
      <w:r w:rsidR="000C5B00" w:rsidRPr="000C23A0">
        <w:t xml:space="preserve"> the local government settlement</w:t>
      </w:r>
      <w:r w:rsidRPr="000C23A0">
        <w:t xml:space="preserve">. An example is the community justice </w:t>
      </w:r>
      <w:r w:rsidRPr="000C23A0">
        <w:lastRenderedPageBreak/>
        <w:t>monies for Justice Social Work.</w:t>
      </w:r>
      <w:r w:rsidR="000C23A0" w:rsidRPr="000C23A0">
        <w:t xml:space="preserve"> Information about these </w:t>
      </w:r>
      <w:r w:rsidR="002751E6">
        <w:t xml:space="preserve">transfers </w:t>
      </w:r>
      <w:r w:rsidR="000C23A0" w:rsidRPr="000C23A0">
        <w:t>is communicated direct</w:t>
      </w:r>
      <w:r w:rsidR="00CB3202">
        <w:t>ly</w:t>
      </w:r>
      <w:r w:rsidR="000C23A0" w:rsidRPr="000C23A0">
        <w:t xml:space="preserve"> to councils by the relevant Scottish Government policy branches</w:t>
      </w:r>
      <w:r w:rsidR="002751E6">
        <w:t>; unfortunately</w:t>
      </w:r>
      <w:r w:rsidR="000C23A0" w:rsidRPr="000C23A0">
        <w:t xml:space="preserve">, </w:t>
      </w:r>
      <w:r w:rsidR="002751E6">
        <w:t xml:space="preserve">this means it </w:t>
      </w:r>
      <w:r w:rsidR="000C23A0" w:rsidRPr="000C23A0">
        <w:t xml:space="preserve">is difficult to get a </w:t>
      </w:r>
      <w:r w:rsidR="00CB3202">
        <w:t>national picture</w:t>
      </w:r>
      <w:r w:rsidR="002751E6">
        <w:t xml:space="preserve"> for these transfers apart from </w:t>
      </w:r>
      <w:r w:rsidR="0044363D">
        <w:t>limited information in the Scottish Budget</w:t>
      </w:r>
      <w:r w:rsidR="00CB3202">
        <w:t xml:space="preserve">. </w:t>
      </w:r>
      <w:r w:rsidR="000C23A0" w:rsidRPr="000C23A0">
        <w:t xml:space="preserve"> </w:t>
      </w:r>
    </w:p>
    <w:p w14:paraId="132F929F" w14:textId="77777777" w:rsidR="00E75F60" w:rsidRDefault="00E75F60" w:rsidP="00E75F60"/>
    <w:p w14:paraId="5D0C93CE" w14:textId="59121F53" w:rsidR="00E234B5" w:rsidRDefault="0044363D" w:rsidP="00E75F60">
      <w:r>
        <w:t>Our Briefing</w:t>
      </w:r>
      <w:r w:rsidR="00E234B5">
        <w:t xml:space="preserve"> provide</w:t>
      </w:r>
      <w:r>
        <w:t>s</w:t>
      </w:r>
      <w:r w:rsidR="00E234B5">
        <w:t xml:space="preserve"> </w:t>
      </w:r>
      <w:r>
        <w:t>further information</w:t>
      </w:r>
      <w:r w:rsidR="00E234B5">
        <w:t xml:space="preserve"> for the </w:t>
      </w:r>
      <w:r w:rsidR="00E234B5" w:rsidRPr="00E234B5">
        <w:rPr>
          <w:b/>
          <w:bCs/>
        </w:rPr>
        <w:t>Real Living Wage uplift</w:t>
      </w:r>
      <w:r w:rsidR="00E234B5">
        <w:t xml:space="preserve"> funding; other increases for </w:t>
      </w:r>
      <w:r w:rsidR="00E234B5" w:rsidRPr="00E234B5">
        <w:rPr>
          <w:b/>
          <w:bCs/>
        </w:rPr>
        <w:t>adult social care</w:t>
      </w:r>
      <w:r w:rsidR="00E234B5">
        <w:t xml:space="preserve">; other increases for </w:t>
      </w:r>
      <w:r w:rsidR="00E234B5" w:rsidRPr="00E234B5">
        <w:rPr>
          <w:b/>
          <w:bCs/>
        </w:rPr>
        <w:t>children and families social work services</w:t>
      </w:r>
      <w:r w:rsidR="00E234B5">
        <w:t xml:space="preserve">; and increases for </w:t>
      </w:r>
      <w:r w:rsidR="00E234B5" w:rsidRPr="00E234B5">
        <w:rPr>
          <w:b/>
          <w:bCs/>
        </w:rPr>
        <w:t>justice social work</w:t>
      </w:r>
      <w:r w:rsidR="00E234B5">
        <w:t xml:space="preserve"> </w:t>
      </w:r>
      <w:r w:rsidR="00E234B5" w:rsidRPr="00E234B5">
        <w:rPr>
          <w:b/>
          <w:bCs/>
        </w:rPr>
        <w:t>services</w:t>
      </w:r>
      <w:r w:rsidR="00E234B5">
        <w:t>.</w:t>
      </w:r>
    </w:p>
    <w:p w14:paraId="7D123241" w14:textId="77777777" w:rsidR="00E234B5" w:rsidRDefault="00E234B5" w:rsidP="00E75F60"/>
    <w:p w14:paraId="175A9A8C" w14:textId="77777777" w:rsidR="00E234B5" w:rsidRPr="000C23A0" w:rsidRDefault="00E234B5" w:rsidP="00E75F60"/>
    <w:p w14:paraId="74245C12" w14:textId="581269CB" w:rsidR="005B6DA4" w:rsidRPr="005B6DA4" w:rsidRDefault="005B6DA4" w:rsidP="005B6DA4">
      <w:pPr>
        <w:pStyle w:val="ListParagraph"/>
        <w:numPr>
          <w:ilvl w:val="0"/>
          <w:numId w:val="22"/>
        </w:numPr>
        <w:rPr>
          <w:b/>
          <w:bCs/>
          <w:u w:val="single"/>
        </w:rPr>
      </w:pPr>
      <w:r w:rsidRPr="005B6DA4">
        <w:rPr>
          <w:b/>
          <w:bCs/>
        </w:rPr>
        <w:t xml:space="preserve"> </w:t>
      </w:r>
      <w:r w:rsidRPr="005B6DA4">
        <w:rPr>
          <w:b/>
          <w:bCs/>
          <w:u w:val="single"/>
        </w:rPr>
        <w:t xml:space="preserve">Funding for Real Living Wage increases </w:t>
      </w:r>
    </w:p>
    <w:p w14:paraId="6F52E215" w14:textId="77777777" w:rsidR="00990BE3" w:rsidRDefault="00717FD9" w:rsidP="00E75F60">
      <w:r w:rsidRPr="00717FD9">
        <w:t xml:space="preserve">The largest increases in Scottish Government funding for social care are those for the </w:t>
      </w:r>
      <w:r w:rsidRPr="00717FD9">
        <w:rPr>
          <w:b/>
          <w:bCs/>
        </w:rPr>
        <w:t>Real Living Wage</w:t>
      </w:r>
      <w:r w:rsidRPr="00717FD9">
        <w:t xml:space="preserve"> for social care workers. These increases for commissioned services from £12.60 to £13.45 per hour (up 6.7 per cent</w:t>
      </w:r>
      <w:r w:rsidRPr="00717FD9">
        <w:rPr>
          <w:rStyle w:val="FootnoteReference"/>
        </w:rPr>
        <w:footnoteReference w:id="5"/>
      </w:r>
      <w:r w:rsidRPr="00717FD9">
        <w:t>)</w:t>
      </w:r>
      <w:r>
        <w:t xml:space="preserve"> are above inflation, so may </w:t>
      </w:r>
      <w:r w:rsidR="008613A9">
        <w:t>assist</w:t>
      </w:r>
      <w:r>
        <w:t xml:space="preserve"> recruitment and retention to </w:t>
      </w:r>
      <w:r w:rsidR="008613A9">
        <w:t>a modest degree</w:t>
      </w:r>
      <w:r>
        <w:t xml:space="preserve"> </w:t>
      </w:r>
      <w:r w:rsidR="0068512E">
        <w:t>– the difference between the RLW and the hourly minimum wage (£12.71) is only 74 pe</w:t>
      </w:r>
      <w:r w:rsidR="00990BE3">
        <w:t>nce per hour. S</w:t>
      </w:r>
      <w:r>
        <w:t xml:space="preserve">till short of the £15 per </w:t>
      </w:r>
      <w:r w:rsidR="0068512E">
        <w:t>hour</w:t>
      </w:r>
      <w:r>
        <w:t xml:space="preserve"> identified as being needed five years ago by the STUC and also </w:t>
      </w:r>
      <w:r w:rsidR="008613A9">
        <w:t xml:space="preserve">noted </w:t>
      </w:r>
      <w:r>
        <w:t>in the 2021 Independent Review of Adult Social Care</w:t>
      </w:r>
      <w:r w:rsidR="00990BE3">
        <w:t>.</w:t>
      </w:r>
      <w:r>
        <w:t xml:space="preserve"> </w:t>
      </w:r>
      <w:r w:rsidR="00990BE3">
        <w:t xml:space="preserve"> </w:t>
      </w:r>
    </w:p>
    <w:p w14:paraId="0822F1FF" w14:textId="77777777" w:rsidR="00990BE3" w:rsidRDefault="00990BE3" w:rsidP="00E75F60"/>
    <w:p w14:paraId="46AA85FF" w14:textId="20952DB0" w:rsidR="00717FD9" w:rsidRPr="00717FD9" w:rsidRDefault="00990BE3" w:rsidP="00E75F60">
      <w:r>
        <w:t>A change in the Scottish Government’s calculations had reduced the necessary funding for this uplift by £20M.  Following complaints by COSLA, a campaign by CCPS, and an SNP/Liberal Democrats deal over the Budget vote, this has now been restored:</w:t>
      </w:r>
    </w:p>
    <w:p w14:paraId="2E2A7F75" w14:textId="77777777" w:rsidR="00717FD9" w:rsidRPr="00717FD9" w:rsidRDefault="00717FD9" w:rsidP="00E75F60"/>
    <w:tbl>
      <w:tblPr>
        <w:tblW w:w="7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402"/>
        <w:gridCol w:w="1360"/>
        <w:gridCol w:w="1360"/>
      </w:tblGrid>
      <w:tr w:rsidR="00B67F13" w:rsidRPr="00A51502" w14:paraId="392C490C" w14:textId="77777777" w:rsidTr="00B67F13">
        <w:trPr>
          <w:trHeight w:val="300"/>
        </w:trPr>
        <w:tc>
          <w:tcPr>
            <w:tcW w:w="3681" w:type="dxa"/>
            <w:vMerge w:val="restart"/>
            <w:noWrap/>
            <w:vAlign w:val="center"/>
            <w:hideMark/>
          </w:tcPr>
          <w:p w14:paraId="66A14119" w14:textId="41DCA220" w:rsidR="00B67F13" w:rsidRPr="00A51502" w:rsidRDefault="00B67F13" w:rsidP="00B67F13">
            <w:pPr>
              <w:rPr>
                <w:rFonts w:eastAsia="Times New Roman" w:cs="Arial"/>
                <w:kern w:val="0"/>
                <w:lang w:eastAsia="en-GB"/>
                <w14:ligatures w14:val="none"/>
              </w:rPr>
            </w:pPr>
            <w:r w:rsidRPr="00A51502">
              <w:rPr>
                <w:rFonts w:eastAsia="Times New Roman" w:cs="Arial"/>
                <w:b/>
                <w:bCs/>
                <w:kern w:val="0"/>
                <w:lang w:eastAsia="en-GB"/>
                <w14:ligatures w14:val="none"/>
              </w:rPr>
              <w:t>R</w:t>
            </w:r>
            <w:r w:rsidRPr="00B5278A">
              <w:rPr>
                <w:rFonts w:eastAsia="Times New Roman" w:cs="Arial"/>
                <w:b/>
                <w:bCs/>
                <w:kern w:val="0"/>
                <w:lang w:eastAsia="en-GB"/>
                <w14:ligatures w14:val="none"/>
              </w:rPr>
              <w:t xml:space="preserve">eal </w:t>
            </w:r>
            <w:r w:rsidRPr="00A51502">
              <w:rPr>
                <w:rFonts w:eastAsia="Times New Roman" w:cs="Arial"/>
                <w:b/>
                <w:bCs/>
                <w:kern w:val="0"/>
                <w:lang w:eastAsia="en-GB"/>
                <w14:ligatures w14:val="none"/>
              </w:rPr>
              <w:t>L</w:t>
            </w:r>
            <w:r w:rsidRPr="00B5278A">
              <w:rPr>
                <w:rFonts w:eastAsia="Times New Roman" w:cs="Arial"/>
                <w:b/>
                <w:bCs/>
                <w:kern w:val="0"/>
                <w:lang w:eastAsia="en-GB"/>
                <w14:ligatures w14:val="none"/>
              </w:rPr>
              <w:t xml:space="preserve">iving </w:t>
            </w:r>
            <w:r w:rsidRPr="00A51502">
              <w:rPr>
                <w:rFonts w:eastAsia="Times New Roman" w:cs="Arial"/>
                <w:b/>
                <w:bCs/>
                <w:kern w:val="0"/>
                <w:lang w:eastAsia="en-GB"/>
                <w14:ligatures w14:val="none"/>
              </w:rPr>
              <w:t>W</w:t>
            </w:r>
            <w:r w:rsidRPr="00B5278A">
              <w:rPr>
                <w:rFonts w:eastAsia="Times New Roman" w:cs="Arial"/>
                <w:b/>
                <w:bCs/>
                <w:kern w:val="0"/>
                <w:lang w:eastAsia="en-GB"/>
                <w14:ligatures w14:val="none"/>
              </w:rPr>
              <w:t>ages</w:t>
            </w:r>
            <w:r w:rsidRPr="00A51502">
              <w:rPr>
                <w:rFonts w:eastAsia="Times New Roman" w:cs="Arial"/>
                <w:b/>
                <w:bCs/>
                <w:kern w:val="0"/>
                <w:lang w:eastAsia="en-GB"/>
                <w14:ligatures w14:val="none"/>
              </w:rPr>
              <w:t xml:space="preserve"> uplifts</w:t>
            </w:r>
            <w:r w:rsidRPr="00A51502">
              <w:rPr>
                <w:rFonts w:eastAsia="Times New Roman" w:cs="Arial"/>
                <w:kern w:val="0"/>
                <w:lang w:eastAsia="en-GB"/>
                <w14:ligatures w14:val="none"/>
              </w:rPr>
              <w:t xml:space="preserve"> in the </w:t>
            </w:r>
            <w:r w:rsidRPr="00B67F13">
              <w:rPr>
                <w:rFonts w:eastAsia="Times New Roman" w:cs="Arial"/>
                <w:kern w:val="0"/>
                <w:lang w:eastAsia="en-GB"/>
                <w14:ligatures w14:val="none"/>
              </w:rPr>
              <w:t xml:space="preserve">LG </w:t>
            </w:r>
            <w:r w:rsidRPr="00A51502">
              <w:rPr>
                <w:rFonts w:eastAsia="Times New Roman" w:cs="Arial"/>
                <w:kern w:val="0"/>
                <w:lang w:eastAsia="en-GB"/>
                <w14:ligatures w14:val="none"/>
              </w:rPr>
              <w:t>Finance Circulars</w:t>
            </w:r>
            <w:r w:rsidRPr="00B67F13">
              <w:rPr>
                <w:rFonts w:eastAsia="Times New Roman" w:cs="Arial"/>
                <w:kern w:val="0"/>
                <w:lang w:eastAsia="en-GB"/>
                <w14:ligatures w14:val="none"/>
              </w:rPr>
              <w:t xml:space="preserve"> for 202</w:t>
            </w:r>
            <w:r w:rsidR="00990BE3">
              <w:rPr>
                <w:rFonts w:eastAsia="Times New Roman" w:cs="Arial"/>
                <w:kern w:val="0"/>
                <w:lang w:eastAsia="en-GB"/>
                <w14:ligatures w14:val="none"/>
              </w:rPr>
              <w:t>6</w:t>
            </w:r>
            <w:r w:rsidRPr="00B67F13">
              <w:rPr>
                <w:rFonts w:eastAsia="Times New Roman" w:cs="Arial"/>
                <w:kern w:val="0"/>
                <w:lang w:eastAsia="en-GB"/>
                <w14:ligatures w14:val="none"/>
              </w:rPr>
              <w:t>-2</w:t>
            </w:r>
            <w:r w:rsidR="00990BE3">
              <w:rPr>
                <w:rFonts w:eastAsia="Times New Roman" w:cs="Arial"/>
                <w:kern w:val="0"/>
                <w:lang w:eastAsia="en-GB"/>
                <w14:ligatures w14:val="none"/>
              </w:rPr>
              <w:t>7</w:t>
            </w:r>
          </w:p>
        </w:tc>
        <w:tc>
          <w:tcPr>
            <w:tcW w:w="4122" w:type="dxa"/>
            <w:gridSpan w:val="3"/>
            <w:noWrap/>
            <w:vAlign w:val="center"/>
            <w:hideMark/>
          </w:tcPr>
          <w:p w14:paraId="0801692B" w14:textId="6A61EFD1" w:rsidR="00B67F13" w:rsidRPr="00A51502" w:rsidRDefault="00B67F13" w:rsidP="00B67F13">
            <w:pPr>
              <w:jc w:val="center"/>
              <w:rPr>
                <w:rFonts w:eastAsia="Times New Roman" w:cs="Arial"/>
                <w:b/>
                <w:bCs/>
                <w:kern w:val="0"/>
                <w:lang w:eastAsia="en-GB"/>
                <w14:ligatures w14:val="none"/>
              </w:rPr>
            </w:pPr>
            <w:r w:rsidRPr="00A51502">
              <w:rPr>
                <w:rFonts w:eastAsia="Times New Roman" w:cs="Arial"/>
                <w:b/>
                <w:bCs/>
                <w:kern w:val="0"/>
                <w:lang w:eastAsia="en-GB"/>
                <w14:ligatures w14:val="none"/>
              </w:rPr>
              <w:t>Finance Circulars</w:t>
            </w:r>
          </w:p>
        </w:tc>
      </w:tr>
      <w:tr w:rsidR="00B67F13" w:rsidRPr="00A51502" w14:paraId="0073AB5B" w14:textId="77777777" w:rsidTr="00B67F13">
        <w:trPr>
          <w:trHeight w:val="300"/>
        </w:trPr>
        <w:tc>
          <w:tcPr>
            <w:tcW w:w="3681" w:type="dxa"/>
            <w:vMerge/>
            <w:noWrap/>
            <w:vAlign w:val="bottom"/>
            <w:hideMark/>
          </w:tcPr>
          <w:p w14:paraId="72FB3490" w14:textId="77777777" w:rsidR="00B67F13" w:rsidRPr="00A51502" w:rsidRDefault="00B67F13" w:rsidP="00A51502">
            <w:pPr>
              <w:rPr>
                <w:rFonts w:eastAsia="Times New Roman" w:cs="Arial"/>
                <w:kern w:val="0"/>
                <w:sz w:val="20"/>
                <w:szCs w:val="20"/>
                <w:lang w:eastAsia="en-GB"/>
                <w14:ligatures w14:val="none"/>
              </w:rPr>
            </w:pPr>
          </w:p>
        </w:tc>
        <w:tc>
          <w:tcPr>
            <w:tcW w:w="1402" w:type="dxa"/>
            <w:noWrap/>
            <w:vAlign w:val="bottom"/>
            <w:hideMark/>
          </w:tcPr>
          <w:p w14:paraId="2A1C6509" w14:textId="77777777" w:rsidR="00B67F13" w:rsidRPr="00A51502" w:rsidRDefault="00B67F13" w:rsidP="00A51502">
            <w:pPr>
              <w:jc w:val="right"/>
              <w:rPr>
                <w:rFonts w:eastAsia="Times New Roman" w:cs="Arial"/>
                <w:kern w:val="0"/>
                <w:lang w:eastAsia="en-GB"/>
                <w14:ligatures w14:val="none"/>
              </w:rPr>
            </w:pPr>
            <w:r w:rsidRPr="00A51502">
              <w:rPr>
                <w:rFonts w:eastAsia="Times New Roman" w:cs="Arial"/>
                <w:kern w:val="0"/>
                <w:lang w:eastAsia="en-GB"/>
                <w14:ligatures w14:val="none"/>
              </w:rPr>
              <w:t>No. 1/2026</w:t>
            </w:r>
          </w:p>
        </w:tc>
        <w:tc>
          <w:tcPr>
            <w:tcW w:w="1360" w:type="dxa"/>
            <w:noWrap/>
            <w:vAlign w:val="bottom"/>
            <w:hideMark/>
          </w:tcPr>
          <w:p w14:paraId="1E5CD354" w14:textId="77777777" w:rsidR="00B67F13" w:rsidRPr="00A51502" w:rsidRDefault="00B67F13" w:rsidP="00A51502">
            <w:pPr>
              <w:jc w:val="right"/>
              <w:rPr>
                <w:rFonts w:eastAsia="Times New Roman" w:cs="Arial"/>
                <w:kern w:val="0"/>
                <w:lang w:eastAsia="en-GB"/>
                <w14:ligatures w14:val="none"/>
              </w:rPr>
            </w:pPr>
            <w:r w:rsidRPr="00A51502">
              <w:rPr>
                <w:rFonts w:eastAsia="Times New Roman" w:cs="Arial"/>
                <w:kern w:val="0"/>
                <w:lang w:eastAsia="en-GB"/>
                <w14:ligatures w14:val="none"/>
              </w:rPr>
              <w:t>No. 2/2026</w:t>
            </w:r>
          </w:p>
        </w:tc>
        <w:tc>
          <w:tcPr>
            <w:tcW w:w="1360" w:type="dxa"/>
            <w:vMerge w:val="restart"/>
            <w:noWrap/>
            <w:vAlign w:val="center"/>
            <w:hideMark/>
          </w:tcPr>
          <w:p w14:paraId="6A23F4CF" w14:textId="52448C6D" w:rsidR="00B67F13" w:rsidRPr="00A51502" w:rsidRDefault="00B67F13" w:rsidP="00B67F13">
            <w:pPr>
              <w:jc w:val="right"/>
              <w:rPr>
                <w:rFonts w:eastAsia="Times New Roman" w:cs="Arial"/>
                <w:kern w:val="0"/>
                <w:lang w:eastAsia="en-GB"/>
                <w14:ligatures w14:val="none"/>
              </w:rPr>
            </w:pPr>
            <w:r w:rsidRPr="00A51502">
              <w:rPr>
                <w:rFonts w:eastAsia="Times New Roman" w:cs="Arial"/>
                <w:b/>
                <w:bCs/>
                <w:kern w:val="0"/>
                <w:lang w:eastAsia="en-GB"/>
                <w14:ligatures w14:val="none"/>
              </w:rPr>
              <w:t>Change</w:t>
            </w:r>
          </w:p>
        </w:tc>
      </w:tr>
      <w:tr w:rsidR="00B67F13" w:rsidRPr="00A51502" w14:paraId="22DE55FC" w14:textId="77777777" w:rsidTr="00B67F13">
        <w:trPr>
          <w:trHeight w:val="300"/>
        </w:trPr>
        <w:tc>
          <w:tcPr>
            <w:tcW w:w="3681" w:type="dxa"/>
            <w:vMerge/>
            <w:noWrap/>
            <w:vAlign w:val="bottom"/>
            <w:hideMark/>
          </w:tcPr>
          <w:p w14:paraId="708162BA" w14:textId="77777777" w:rsidR="00B67F13" w:rsidRPr="00A51502" w:rsidRDefault="00B67F13" w:rsidP="00A51502">
            <w:pPr>
              <w:rPr>
                <w:rFonts w:eastAsia="Times New Roman" w:cs="Arial"/>
                <w:b/>
                <w:bCs/>
                <w:kern w:val="0"/>
                <w:sz w:val="20"/>
                <w:szCs w:val="20"/>
                <w:lang w:eastAsia="en-GB"/>
                <w14:ligatures w14:val="none"/>
              </w:rPr>
            </w:pPr>
          </w:p>
        </w:tc>
        <w:tc>
          <w:tcPr>
            <w:tcW w:w="1402" w:type="dxa"/>
            <w:noWrap/>
            <w:vAlign w:val="bottom"/>
            <w:hideMark/>
          </w:tcPr>
          <w:p w14:paraId="2EB55AE8" w14:textId="77777777" w:rsidR="00B67F13" w:rsidRPr="00A51502" w:rsidRDefault="00B67F13" w:rsidP="00A51502">
            <w:pPr>
              <w:jc w:val="right"/>
              <w:rPr>
                <w:rFonts w:eastAsia="Times New Roman" w:cs="Arial"/>
                <w:b/>
                <w:bCs/>
                <w:kern w:val="0"/>
                <w:lang w:eastAsia="en-GB"/>
                <w14:ligatures w14:val="none"/>
              </w:rPr>
            </w:pPr>
            <w:r w:rsidRPr="00A51502">
              <w:rPr>
                <w:rFonts w:eastAsia="Times New Roman" w:cs="Arial"/>
                <w:b/>
                <w:bCs/>
                <w:kern w:val="0"/>
                <w:lang w:eastAsia="en-GB"/>
                <w14:ligatures w14:val="none"/>
              </w:rPr>
              <w:t>Provisional</w:t>
            </w:r>
          </w:p>
        </w:tc>
        <w:tc>
          <w:tcPr>
            <w:tcW w:w="1360" w:type="dxa"/>
            <w:noWrap/>
            <w:vAlign w:val="bottom"/>
            <w:hideMark/>
          </w:tcPr>
          <w:p w14:paraId="7E6D337F" w14:textId="77777777" w:rsidR="00B67F13" w:rsidRPr="00A51502" w:rsidRDefault="00B67F13" w:rsidP="00A51502">
            <w:pPr>
              <w:jc w:val="right"/>
              <w:rPr>
                <w:rFonts w:eastAsia="Times New Roman" w:cs="Arial"/>
                <w:b/>
                <w:bCs/>
                <w:kern w:val="0"/>
                <w:lang w:eastAsia="en-GB"/>
                <w14:ligatures w14:val="none"/>
              </w:rPr>
            </w:pPr>
            <w:r w:rsidRPr="00A51502">
              <w:rPr>
                <w:rFonts w:eastAsia="Times New Roman" w:cs="Arial"/>
                <w:b/>
                <w:bCs/>
                <w:kern w:val="0"/>
                <w:lang w:eastAsia="en-GB"/>
                <w14:ligatures w14:val="none"/>
              </w:rPr>
              <w:t>Final</w:t>
            </w:r>
          </w:p>
        </w:tc>
        <w:tc>
          <w:tcPr>
            <w:tcW w:w="1360" w:type="dxa"/>
            <w:vMerge/>
            <w:noWrap/>
            <w:vAlign w:val="bottom"/>
            <w:hideMark/>
          </w:tcPr>
          <w:p w14:paraId="3E5D7856" w14:textId="79D3ED53" w:rsidR="00B67F13" w:rsidRPr="00A51502" w:rsidRDefault="00B67F13" w:rsidP="00A51502">
            <w:pPr>
              <w:jc w:val="right"/>
              <w:rPr>
                <w:rFonts w:eastAsia="Times New Roman" w:cs="Arial"/>
                <w:b/>
                <w:bCs/>
                <w:kern w:val="0"/>
                <w:lang w:eastAsia="en-GB"/>
                <w14:ligatures w14:val="none"/>
              </w:rPr>
            </w:pPr>
          </w:p>
        </w:tc>
      </w:tr>
      <w:tr w:rsidR="00B67F13" w:rsidRPr="00A51502" w14:paraId="79BD4865" w14:textId="77777777" w:rsidTr="00B67F13">
        <w:trPr>
          <w:trHeight w:val="300"/>
        </w:trPr>
        <w:tc>
          <w:tcPr>
            <w:tcW w:w="3681" w:type="dxa"/>
            <w:vMerge/>
            <w:noWrap/>
            <w:vAlign w:val="bottom"/>
            <w:hideMark/>
          </w:tcPr>
          <w:p w14:paraId="469556C0" w14:textId="77777777" w:rsidR="00B67F13" w:rsidRPr="00A51502" w:rsidRDefault="00B67F13" w:rsidP="00A51502">
            <w:pPr>
              <w:jc w:val="right"/>
              <w:rPr>
                <w:rFonts w:eastAsia="Times New Roman" w:cs="Arial"/>
                <w:b/>
                <w:bCs/>
                <w:kern w:val="0"/>
                <w:lang w:eastAsia="en-GB"/>
                <w14:ligatures w14:val="none"/>
              </w:rPr>
            </w:pPr>
          </w:p>
        </w:tc>
        <w:tc>
          <w:tcPr>
            <w:tcW w:w="1402" w:type="dxa"/>
            <w:noWrap/>
            <w:vAlign w:val="bottom"/>
            <w:hideMark/>
          </w:tcPr>
          <w:p w14:paraId="6A2DD20C" w14:textId="77777777" w:rsidR="00B67F13" w:rsidRPr="00A51502" w:rsidRDefault="00B67F13" w:rsidP="00A51502">
            <w:pPr>
              <w:jc w:val="right"/>
              <w:rPr>
                <w:rFonts w:eastAsia="Times New Roman" w:cs="Arial"/>
                <w:b/>
                <w:bCs/>
                <w:kern w:val="0"/>
                <w:lang w:eastAsia="en-GB"/>
                <w14:ligatures w14:val="none"/>
              </w:rPr>
            </w:pPr>
            <w:r w:rsidRPr="00A51502">
              <w:rPr>
                <w:rFonts w:eastAsia="Times New Roman" w:cs="Arial"/>
                <w:b/>
                <w:bCs/>
                <w:kern w:val="0"/>
                <w:lang w:eastAsia="en-GB"/>
                <w14:ligatures w14:val="none"/>
              </w:rPr>
              <w:t>£M</w:t>
            </w:r>
          </w:p>
        </w:tc>
        <w:tc>
          <w:tcPr>
            <w:tcW w:w="1360" w:type="dxa"/>
            <w:noWrap/>
            <w:vAlign w:val="bottom"/>
            <w:hideMark/>
          </w:tcPr>
          <w:p w14:paraId="7AE00F71" w14:textId="77777777" w:rsidR="00B67F13" w:rsidRPr="00A51502" w:rsidRDefault="00B67F13" w:rsidP="00A51502">
            <w:pPr>
              <w:jc w:val="right"/>
              <w:rPr>
                <w:rFonts w:eastAsia="Times New Roman" w:cs="Arial"/>
                <w:b/>
                <w:bCs/>
                <w:kern w:val="0"/>
                <w:lang w:eastAsia="en-GB"/>
                <w14:ligatures w14:val="none"/>
              </w:rPr>
            </w:pPr>
            <w:r w:rsidRPr="00A51502">
              <w:rPr>
                <w:rFonts w:eastAsia="Times New Roman" w:cs="Arial"/>
                <w:b/>
                <w:bCs/>
                <w:kern w:val="0"/>
                <w:lang w:eastAsia="en-GB"/>
                <w14:ligatures w14:val="none"/>
              </w:rPr>
              <w:t>£M</w:t>
            </w:r>
          </w:p>
        </w:tc>
        <w:tc>
          <w:tcPr>
            <w:tcW w:w="1360" w:type="dxa"/>
            <w:noWrap/>
            <w:vAlign w:val="bottom"/>
            <w:hideMark/>
          </w:tcPr>
          <w:p w14:paraId="00BD5046" w14:textId="769D63FE" w:rsidR="00B67F13" w:rsidRPr="00A51502" w:rsidRDefault="00B67F13" w:rsidP="00A51502">
            <w:pPr>
              <w:jc w:val="right"/>
              <w:rPr>
                <w:rFonts w:eastAsia="Times New Roman" w:cs="Arial"/>
                <w:b/>
                <w:bCs/>
                <w:kern w:val="0"/>
                <w:lang w:eastAsia="en-GB"/>
                <w14:ligatures w14:val="none"/>
              </w:rPr>
            </w:pPr>
            <w:r w:rsidRPr="00A51502">
              <w:rPr>
                <w:rFonts w:eastAsia="Times New Roman" w:cs="Arial"/>
                <w:b/>
                <w:bCs/>
                <w:kern w:val="0"/>
                <w:lang w:eastAsia="en-GB"/>
                <w14:ligatures w14:val="none"/>
              </w:rPr>
              <w:t>£M</w:t>
            </w:r>
          </w:p>
        </w:tc>
      </w:tr>
      <w:tr w:rsidR="00A51502" w:rsidRPr="00A51502" w14:paraId="450C378C" w14:textId="77777777" w:rsidTr="00B67F13">
        <w:trPr>
          <w:trHeight w:val="300"/>
        </w:trPr>
        <w:tc>
          <w:tcPr>
            <w:tcW w:w="3681" w:type="dxa"/>
            <w:noWrap/>
            <w:vAlign w:val="bottom"/>
            <w:hideMark/>
          </w:tcPr>
          <w:p w14:paraId="6D8F4905" w14:textId="77777777" w:rsidR="00A51502" w:rsidRPr="00A51502" w:rsidRDefault="00A51502" w:rsidP="00A51502">
            <w:pPr>
              <w:rPr>
                <w:rFonts w:eastAsia="Times New Roman" w:cs="Arial"/>
                <w:kern w:val="0"/>
                <w:lang w:eastAsia="en-GB"/>
                <w14:ligatures w14:val="none"/>
              </w:rPr>
            </w:pPr>
            <w:r w:rsidRPr="00A51502">
              <w:rPr>
                <w:rFonts w:eastAsia="Times New Roman" w:cs="Arial"/>
                <w:kern w:val="0"/>
                <w:lang w:eastAsia="en-GB"/>
                <w14:ligatures w14:val="none"/>
              </w:rPr>
              <w:t>Adult social care</w:t>
            </w:r>
          </w:p>
        </w:tc>
        <w:tc>
          <w:tcPr>
            <w:tcW w:w="1402" w:type="dxa"/>
            <w:noWrap/>
            <w:vAlign w:val="bottom"/>
            <w:hideMark/>
          </w:tcPr>
          <w:p w14:paraId="2CF133A3" w14:textId="28CB2DCE" w:rsidR="00A51502" w:rsidRPr="00A51502" w:rsidRDefault="00A51502" w:rsidP="00A51502">
            <w:pPr>
              <w:jc w:val="right"/>
              <w:rPr>
                <w:rFonts w:eastAsia="Times New Roman" w:cs="Arial"/>
                <w:kern w:val="0"/>
                <w:lang w:eastAsia="en-GB"/>
                <w14:ligatures w14:val="none"/>
              </w:rPr>
            </w:pPr>
            <w:r w:rsidRPr="00A51502">
              <w:rPr>
                <w:rFonts w:eastAsia="Times New Roman" w:cs="Arial"/>
                <w:kern w:val="0"/>
                <w:lang w:eastAsia="en-GB"/>
                <w14:ligatures w14:val="none"/>
              </w:rPr>
              <w:t>160.0</w:t>
            </w:r>
          </w:p>
        </w:tc>
        <w:tc>
          <w:tcPr>
            <w:tcW w:w="1360" w:type="dxa"/>
            <w:noWrap/>
            <w:vAlign w:val="bottom"/>
            <w:hideMark/>
          </w:tcPr>
          <w:p w14:paraId="3C56C091" w14:textId="32962FA5" w:rsidR="00A51502" w:rsidRPr="00A51502" w:rsidRDefault="00A51502" w:rsidP="00A51502">
            <w:pPr>
              <w:jc w:val="right"/>
              <w:rPr>
                <w:rFonts w:eastAsia="Times New Roman" w:cs="Arial"/>
                <w:kern w:val="0"/>
                <w:lang w:eastAsia="en-GB"/>
                <w14:ligatures w14:val="none"/>
              </w:rPr>
            </w:pPr>
            <w:r w:rsidRPr="00A51502">
              <w:rPr>
                <w:rFonts w:eastAsia="Times New Roman" w:cs="Arial"/>
                <w:kern w:val="0"/>
                <w:lang w:eastAsia="en-GB"/>
                <w14:ligatures w14:val="none"/>
              </w:rPr>
              <w:t>174.7</w:t>
            </w:r>
          </w:p>
        </w:tc>
        <w:tc>
          <w:tcPr>
            <w:tcW w:w="1360" w:type="dxa"/>
            <w:noWrap/>
            <w:vAlign w:val="bottom"/>
            <w:hideMark/>
          </w:tcPr>
          <w:p w14:paraId="67265809" w14:textId="3599B615" w:rsidR="00A51502" w:rsidRPr="00A51502" w:rsidRDefault="00A51502" w:rsidP="00A51502">
            <w:pPr>
              <w:jc w:val="right"/>
              <w:rPr>
                <w:rFonts w:eastAsia="Times New Roman" w:cs="Arial"/>
                <w:kern w:val="0"/>
                <w:lang w:eastAsia="en-GB"/>
                <w14:ligatures w14:val="none"/>
              </w:rPr>
            </w:pPr>
            <w:r w:rsidRPr="00A51502">
              <w:rPr>
                <w:rFonts w:eastAsia="Times New Roman" w:cs="Arial"/>
                <w:kern w:val="0"/>
                <w:lang w:eastAsia="en-GB"/>
                <w14:ligatures w14:val="none"/>
              </w:rPr>
              <w:t>14.7</w:t>
            </w:r>
          </w:p>
        </w:tc>
      </w:tr>
      <w:tr w:rsidR="00A51502" w:rsidRPr="00A51502" w14:paraId="16579C9D" w14:textId="77777777" w:rsidTr="00B67F13">
        <w:trPr>
          <w:trHeight w:val="300"/>
        </w:trPr>
        <w:tc>
          <w:tcPr>
            <w:tcW w:w="3681" w:type="dxa"/>
            <w:noWrap/>
            <w:vAlign w:val="bottom"/>
            <w:hideMark/>
          </w:tcPr>
          <w:p w14:paraId="00BBCD61" w14:textId="77777777" w:rsidR="00A51502" w:rsidRPr="00A51502" w:rsidRDefault="00A51502" w:rsidP="00A51502">
            <w:pPr>
              <w:rPr>
                <w:rFonts w:eastAsia="Times New Roman" w:cs="Arial"/>
                <w:kern w:val="0"/>
                <w:lang w:eastAsia="en-GB"/>
                <w14:ligatures w14:val="none"/>
              </w:rPr>
            </w:pPr>
            <w:r w:rsidRPr="00A51502">
              <w:rPr>
                <w:rFonts w:eastAsia="Times New Roman" w:cs="Arial"/>
                <w:kern w:val="0"/>
                <w:lang w:eastAsia="en-GB"/>
                <w14:ligatures w14:val="none"/>
              </w:rPr>
              <w:t>Children's social work services</w:t>
            </w:r>
          </w:p>
        </w:tc>
        <w:tc>
          <w:tcPr>
            <w:tcW w:w="1402" w:type="dxa"/>
            <w:noWrap/>
            <w:vAlign w:val="bottom"/>
            <w:hideMark/>
          </w:tcPr>
          <w:p w14:paraId="3FC2BBB5" w14:textId="0F718A0B" w:rsidR="00A51502" w:rsidRPr="00A51502" w:rsidRDefault="00A51502" w:rsidP="00A51502">
            <w:pPr>
              <w:jc w:val="right"/>
              <w:rPr>
                <w:rFonts w:eastAsia="Times New Roman" w:cs="Arial"/>
                <w:kern w:val="0"/>
                <w:lang w:eastAsia="en-GB"/>
                <w14:ligatures w14:val="none"/>
              </w:rPr>
            </w:pPr>
            <w:r w:rsidRPr="00A51502">
              <w:rPr>
                <w:rFonts w:eastAsia="Times New Roman" w:cs="Arial"/>
                <w:kern w:val="0"/>
                <w:lang w:eastAsia="en-GB"/>
                <w14:ligatures w14:val="none"/>
              </w:rPr>
              <w:t>11.0</w:t>
            </w:r>
          </w:p>
        </w:tc>
        <w:tc>
          <w:tcPr>
            <w:tcW w:w="1360" w:type="dxa"/>
            <w:noWrap/>
            <w:vAlign w:val="bottom"/>
            <w:hideMark/>
          </w:tcPr>
          <w:p w14:paraId="2CA7F4CF" w14:textId="46AE9938" w:rsidR="00A51502" w:rsidRPr="00A51502" w:rsidRDefault="00A51502" w:rsidP="00A51502">
            <w:pPr>
              <w:jc w:val="right"/>
              <w:rPr>
                <w:rFonts w:eastAsia="Times New Roman" w:cs="Arial"/>
                <w:kern w:val="0"/>
                <w:lang w:eastAsia="en-GB"/>
                <w14:ligatures w14:val="none"/>
              </w:rPr>
            </w:pPr>
            <w:r w:rsidRPr="00A51502">
              <w:rPr>
                <w:rFonts w:eastAsia="Times New Roman" w:cs="Arial"/>
                <w:kern w:val="0"/>
                <w:lang w:eastAsia="en-GB"/>
                <w14:ligatures w14:val="none"/>
              </w:rPr>
              <w:t>13.9</w:t>
            </w:r>
          </w:p>
        </w:tc>
        <w:tc>
          <w:tcPr>
            <w:tcW w:w="1360" w:type="dxa"/>
            <w:noWrap/>
            <w:vAlign w:val="bottom"/>
            <w:hideMark/>
          </w:tcPr>
          <w:p w14:paraId="42677746" w14:textId="387405CD" w:rsidR="00A51502" w:rsidRPr="00A51502" w:rsidRDefault="00A51502" w:rsidP="00A51502">
            <w:pPr>
              <w:jc w:val="right"/>
              <w:rPr>
                <w:rFonts w:eastAsia="Times New Roman" w:cs="Arial"/>
                <w:kern w:val="0"/>
                <w:lang w:eastAsia="en-GB"/>
                <w14:ligatures w14:val="none"/>
              </w:rPr>
            </w:pPr>
            <w:r w:rsidRPr="00A51502">
              <w:rPr>
                <w:rFonts w:eastAsia="Times New Roman" w:cs="Arial"/>
                <w:kern w:val="0"/>
                <w:lang w:eastAsia="en-GB"/>
                <w14:ligatures w14:val="none"/>
              </w:rPr>
              <w:t>2.9</w:t>
            </w:r>
          </w:p>
        </w:tc>
      </w:tr>
      <w:tr w:rsidR="00A51502" w:rsidRPr="00A51502" w14:paraId="52E4DBB6" w14:textId="77777777" w:rsidTr="00B67F13">
        <w:trPr>
          <w:trHeight w:val="300"/>
        </w:trPr>
        <w:tc>
          <w:tcPr>
            <w:tcW w:w="3681" w:type="dxa"/>
            <w:noWrap/>
            <w:vAlign w:val="bottom"/>
            <w:hideMark/>
          </w:tcPr>
          <w:p w14:paraId="3A1FE0E4" w14:textId="0F11FA4B" w:rsidR="00A51502" w:rsidRPr="00A51502" w:rsidRDefault="00A51502" w:rsidP="00A51502">
            <w:pPr>
              <w:rPr>
                <w:rFonts w:eastAsia="Times New Roman" w:cs="Arial"/>
                <w:kern w:val="0"/>
                <w:lang w:eastAsia="en-GB"/>
                <w14:ligatures w14:val="none"/>
              </w:rPr>
            </w:pPr>
            <w:r w:rsidRPr="00A51502">
              <w:rPr>
                <w:rFonts w:eastAsia="Times New Roman" w:cs="Arial"/>
                <w:kern w:val="0"/>
                <w:lang w:eastAsia="en-GB"/>
                <w14:ligatures w14:val="none"/>
              </w:rPr>
              <w:t>Early learning and childcare</w:t>
            </w:r>
            <w:r w:rsidR="00B67F13">
              <w:rPr>
                <w:rFonts w:eastAsia="Times New Roman" w:cs="Arial"/>
                <w:kern w:val="0"/>
                <w:lang w:eastAsia="en-GB"/>
                <w14:ligatures w14:val="none"/>
              </w:rPr>
              <w:t>*</w:t>
            </w:r>
          </w:p>
        </w:tc>
        <w:tc>
          <w:tcPr>
            <w:tcW w:w="1402" w:type="dxa"/>
            <w:noWrap/>
            <w:vAlign w:val="bottom"/>
            <w:hideMark/>
          </w:tcPr>
          <w:p w14:paraId="74036AF5" w14:textId="7B86CC1F" w:rsidR="00A51502" w:rsidRPr="00A51502" w:rsidRDefault="00A51502" w:rsidP="00A51502">
            <w:pPr>
              <w:jc w:val="right"/>
              <w:rPr>
                <w:rFonts w:eastAsia="Times New Roman" w:cs="Arial"/>
                <w:kern w:val="0"/>
                <w:lang w:eastAsia="en-GB"/>
                <w14:ligatures w14:val="none"/>
              </w:rPr>
            </w:pPr>
            <w:r w:rsidRPr="00A51502">
              <w:rPr>
                <w:rFonts w:eastAsia="Times New Roman" w:cs="Arial"/>
                <w:kern w:val="0"/>
                <w:lang w:eastAsia="en-GB"/>
                <w14:ligatures w14:val="none"/>
              </w:rPr>
              <w:t>11.0</w:t>
            </w:r>
          </w:p>
        </w:tc>
        <w:tc>
          <w:tcPr>
            <w:tcW w:w="1360" w:type="dxa"/>
            <w:noWrap/>
            <w:vAlign w:val="bottom"/>
            <w:hideMark/>
          </w:tcPr>
          <w:p w14:paraId="422B3AEE" w14:textId="3338CFBD" w:rsidR="00A51502" w:rsidRPr="00A51502" w:rsidRDefault="00A51502" w:rsidP="00A51502">
            <w:pPr>
              <w:jc w:val="right"/>
              <w:rPr>
                <w:rFonts w:eastAsia="Times New Roman" w:cs="Arial"/>
                <w:kern w:val="0"/>
                <w:lang w:eastAsia="en-GB"/>
                <w14:ligatures w14:val="none"/>
              </w:rPr>
            </w:pPr>
            <w:r w:rsidRPr="00A51502">
              <w:rPr>
                <w:rFonts w:eastAsia="Times New Roman" w:cs="Arial"/>
                <w:kern w:val="0"/>
                <w:lang w:eastAsia="en-GB"/>
                <w14:ligatures w14:val="none"/>
              </w:rPr>
              <w:t>13.4</w:t>
            </w:r>
          </w:p>
        </w:tc>
        <w:tc>
          <w:tcPr>
            <w:tcW w:w="1360" w:type="dxa"/>
            <w:noWrap/>
            <w:vAlign w:val="bottom"/>
            <w:hideMark/>
          </w:tcPr>
          <w:p w14:paraId="0F80951B" w14:textId="560F6A94" w:rsidR="00A51502" w:rsidRPr="00A51502" w:rsidRDefault="00A51502" w:rsidP="00A51502">
            <w:pPr>
              <w:jc w:val="right"/>
              <w:rPr>
                <w:rFonts w:eastAsia="Times New Roman" w:cs="Arial"/>
                <w:kern w:val="0"/>
                <w:lang w:eastAsia="en-GB"/>
                <w14:ligatures w14:val="none"/>
              </w:rPr>
            </w:pPr>
            <w:r w:rsidRPr="00A51502">
              <w:rPr>
                <w:rFonts w:eastAsia="Times New Roman" w:cs="Arial"/>
                <w:kern w:val="0"/>
                <w:lang w:eastAsia="en-GB"/>
                <w14:ligatures w14:val="none"/>
              </w:rPr>
              <w:t>2.4</w:t>
            </w:r>
          </w:p>
        </w:tc>
      </w:tr>
      <w:tr w:rsidR="00A51502" w:rsidRPr="00A51502" w14:paraId="6A35434B" w14:textId="77777777" w:rsidTr="00B67F13">
        <w:trPr>
          <w:trHeight w:val="300"/>
        </w:trPr>
        <w:tc>
          <w:tcPr>
            <w:tcW w:w="3681" w:type="dxa"/>
            <w:noWrap/>
            <w:vAlign w:val="bottom"/>
            <w:hideMark/>
          </w:tcPr>
          <w:p w14:paraId="30CDCA15" w14:textId="77777777" w:rsidR="00A51502" w:rsidRPr="00A51502" w:rsidRDefault="00A51502" w:rsidP="00A51502">
            <w:pPr>
              <w:rPr>
                <w:rFonts w:eastAsia="Times New Roman" w:cs="Arial"/>
                <w:b/>
                <w:bCs/>
                <w:kern w:val="0"/>
                <w:lang w:eastAsia="en-GB"/>
                <w14:ligatures w14:val="none"/>
              </w:rPr>
            </w:pPr>
            <w:r w:rsidRPr="00A51502">
              <w:rPr>
                <w:rFonts w:eastAsia="Times New Roman" w:cs="Arial"/>
                <w:b/>
                <w:bCs/>
                <w:kern w:val="0"/>
                <w:lang w:eastAsia="en-GB"/>
                <w14:ligatures w14:val="none"/>
              </w:rPr>
              <w:t>Total</w:t>
            </w:r>
          </w:p>
        </w:tc>
        <w:tc>
          <w:tcPr>
            <w:tcW w:w="1402" w:type="dxa"/>
            <w:noWrap/>
            <w:vAlign w:val="bottom"/>
            <w:hideMark/>
          </w:tcPr>
          <w:p w14:paraId="61CE4FDC" w14:textId="462CB052" w:rsidR="00A51502" w:rsidRPr="00A51502" w:rsidRDefault="00A51502" w:rsidP="00A51502">
            <w:pPr>
              <w:jc w:val="right"/>
              <w:rPr>
                <w:rFonts w:eastAsia="Times New Roman" w:cs="Arial"/>
                <w:b/>
                <w:bCs/>
                <w:kern w:val="0"/>
                <w:lang w:eastAsia="en-GB"/>
                <w14:ligatures w14:val="none"/>
              </w:rPr>
            </w:pPr>
            <w:r w:rsidRPr="00A51502">
              <w:rPr>
                <w:rFonts w:eastAsia="Times New Roman" w:cs="Arial"/>
                <w:b/>
                <w:bCs/>
                <w:kern w:val="0"/>
                <w:lang w:eastAsia="en-GB"/>
                <w14:ligatures w14:val="none"/>
              </w:rPr>
              <w:t>182.0</w:t>
            </w:r>
          </w:p>
        </w:tc>
        <w:tc>
          <w:tcPr>
            <w:tcW w:w="1360" w:type="dxa"/>
            <w:noWrap/>
            <w:vAlign w:val="bottom"/>
            <w:hideMark/>
          </w:tcPr>
          <w:p w14:paraId="42DA88A8" w14:textId="2BC608CF" w:rsidR="00A51502" w:rsidRPr="00A51502" w:rsidRDefault="00A51502" w:rsidP="00A51502">
            <w:pPr>
              <w:jc w:val="right"/>
              <w:rPr>
                <w:rFonts w:eastAsia="Times New Roman" w:cs="Arial"/>
                <w:b/>
                <w:bCs/>
                <w:kern w:val="0"/>
                <w:lang w:eastAsia="en-GB"/>
                <w14:ligatures w14:val="none"/>
              </w:rPr>
            </w:pPr>
            <w:r w:rsidRPr="00A51502">
              <w:rPr>
                <w:rFonts w:eastAsia="Times New Roman" w:cs="Arial"/>
                <w:b/>
                <w:bCs/>
                <w:kern w:val="0"/>
                <w:lang w:eastAsia="en-GB"/>
                <w14:ligatures w14:val="none"/>
              </w:rPr>
              <w:t>202.0</w:t>
            </w:r>
          </w:p>
        </w:tc>
        <w:tc>
          <w:tcPr>
            <w:tcW w:w="1360" w:type="dxa"/>
            <w:noWrap/>
            <w:vAlign w:val="bottom"/>
            <w:hideMark/>
          </w:tcPr>
          <w:p w14:paraId="54B977C9" w14:textId="0329EE19" w:rsidR="00A51502" w:rsidRPr="00A51502" w:rsidRDefault="00A51502" w:rsidP="00A51502">
            <w:pPr>
              <w:jc w:val="right"/>
              <w:rPr>
                <w:rFonts w:eastAsia="Times New Roman" w:cs="Arial"/>
                <w:b/>
                <w:bCs/>
                <w:kern w:val="0"/>
                <w:lang w:eastAsia="en-GB"/>
                <w14:ligatures w14:val="none"/>
              </w:rPr>
            </w:pPr>
            <w:r w:rsidRPr="00A51502">
              <w:rPr>
                <w:rFonts w:eastAsia="Times New Roman" w:cs="Arial"/>
                <w:b/>
                <w:bCs/>
                <w:kern w:val="0"/>
                <w:lang w:eastAsia="en-GB"/>
                <w14:ligatures w14:val="none"/>
              </w:rPr>
              <w:t>20.0</w:t>
            </w:r>
          </w:p>
        </w:tc>
      </w:tr>
    </w:tbl>
    <w:p w14:paraId="2D0CE4D0" w14:textId="3A17A65A" w:rsidR="00A51502" w:rsidRPr="00B67F13" w:rsidRDefault="00B67F13">
      <w:pPr>
        <w:rPr>
          <w:sz w:val="20"/>
          <w:szCs w:val="20"/>
        </w:rPr>
      </w:pPr>
      <w:r w:rsidRPr="00B67F13">
        <w:rPr>
          <w:rFonts w:eastAsia="Times New Roman" w:cs="Arial"/>
          <w:kern w:val="0"/>
          <w:sz w:val="20"/>
          <w:szCs w:val="20"/>
          <w:lang w:eastAsia="en-GB"/>
          <w14:ligatures w14:val="none"/>
        </w:rPr>
        <w:t>*</w:t>
      </w:r>
      <w:r w:rsidRPr="00A51502">
        <w:rPr>
          <w:rFonts w:eastAsia="Times New Roman" w:cs="Arial"/>
          <w:kern w:val="0"/>
          <w:sz w:val="20"/>
          <w:szCs w:val="20"/>
          <w:lang w:eastAsia="en-GB"/>
          <w14:ligatures w14:val="none"/>
        </w:rPr>
        <w:t>Early learning and childcare</w:t>
      </w:r>
      <w:r w:rsidR="007D4B65">
        <w:rPr>
          <w:rFonts w:eastAsia="Times New Roman" w:cs="Arial"/>
          <w:kern w:val="0"/>
          <w:sz w:val="20"/>
          <w:szCs w:val="20"/>
          <w:lang w:eastAsia="en-GB"/>
          <w14:ligatures w14:val="none"/>
        </w:rPr>
        <w:t>”</w:t>
      </w:r>
      <w:r w:rsidRPr="00B67F13">
        <w:rPr>
          <w:rFonts w:eastAsia="Times New Roman" w:cs="Arial"/>
          <w:kern w:val="0"/>
          <w:sz w:val="20"/>
          <w:szCs w:val="20"/>
          <w:lang w:eastAsia="en-GB"/>
          <w14:ligatures w14:val="none"/>
        </w:rPr>
        <w:t xml:space="preserve"> </w:t>
      </w:r>
      <w:proofErr w:type="gramStart"/>
      <w:r w:rsidRPr="00B67F13">
        <w:rPr>
          <w:rFonts w:eastAsia="Times New Roman" w:cs="Arial"/>
          <w:kern w:val="0"/>
          <w:sz w:val="20"/>
          <w:szCs w:val="20"/>
          <w:lang w:eastAsia="en-GB"/>
          <w14:ligatures w14:val="none"/>
        </w:rPr>
        <w:t>is</w:t>
      </w:r>
      <w:proofErr w:type="gramEnd"/>
      <w:r w:rsidRPr="00B67F13">
        <w:rPr>
          <w:rFonts w:eastAsia="Times New Roman" w:cs="Arial"/>
          <w:kern w:val="0"/>
          <w:sz w:val="20"/>
          <w:szCs w:val="20"/>
          <w:lang w:eastAsia="en-GB"/>
          <w14:ligatures w14:val="none"/>
        </w:rPr>
        <w:t xml:space="preserve"> not normally considered part of “social care” and in all or most councils falls under Children’s or Education services.</w:t>
      </w:r>
    </w:p>
    <w:p w14:paraId="567E90E7" w14:textId="77777777" w:rsidR="00B67F13" w:rsidRDefault="00B67F13">
      <w:pPr>
        <w:rPr>
          <w:sz w:val="20"/>
          <w:szCs w:val="20"/>
        </w:rPr>
      </w:pPr>
    </w:p>
    <w:p w14:paraId="486809E9" w14:textId="746FF13C" w:rsidR="00B67F13" w:rsidRDefault="00717FD9">
      <w:r>
        <w:t xml:space="preserve">As mentioned earlier, the additional £20m will be a “redetermination”.  Nevertheless, council budgets will need to fund the new rates from </w:t>
      </w:r>
      <w:r w:rsidR="00B67F13" w:rsidRPr="00717FD9">
        <w:t>1 April 2026.  We have also updated the distribution</w:t>
      </w:r>
      <w:r w:rsidR="00B5278A" w:rsidRPr="00717FD9">
        <w:t>s</w:t>
      </w:r>
      <w:r w:rsidR="00B67F13" w:rsidRPr="00717FD9">
        <w:t xml:space="preserve"> to council</w:t>
      </w:r>
      <w:r w:rsidR="00B5278A" w:rsidRPr="00717FD9">
        <w:t>s</w:t>
      </w:r>
      <w:r w:rsidR="00B67F13" w:rsidRPr="00717FD9">
        <w:t xml:space="preserve"> in </w:t>
      </w:r>
      <w:r w:rsidR="00B67F13" w:rsidRPr="00717FD9">
        <w:rPr>
          <w:b/>
          <w:bCs/>
        </w:rPr>
        <w:t>Annex A</w:t>
      </w:r>
      <w:r w:rsidR="00B67F13" w:rsidRPr="00717FD9">
        <w:t xml:space="preserve"> of this Briefin</w:t>
      </w:r>
      <w:r w:rsidR="004D128E">
        <w:t>g.</w:t>
      </w:r>
      <w:r w:rsidR="00113D8F">
        <w:t xml:space="preserve"> </w:t>
      </w:r>
    </w:p>
    <w:p w14:paraId="59261763" w14:textId="77777777" w:rsidR="00AB5016" w:rsidRPr="00717FD9" w:rsidRDefault="00AB5016"/>
    <w:p w14:paraId="7A8A1302" w14:textId="77777777" w:rsidR="00034FAC" w:rsidRDefault="00034FAC"/>
    <w:p w14:paraId="2B476243" w14:textId="5F29ADA9" w:rsidR="005B6DA4" w:rsidRPr="005B6DA4" w:rsidRDefault="005B6DA4" w:rsidP="005B6DA4">
      <w:pPr>
        <w:pStyle w:val="ListParagraph"/>
        <w:numPr>
          <w:ilvl w:val="0"/>
          <w:numId w:val="22"/>
        </w:numPr>
        <w:rPr>
          <w:b/>
          <w:bCs/>
          <w:u w:val="single"/>
        </w:rPr>
      </w:pPr>
      <w:r w:rsidRPr="005B6DA4">
        <w:rPr>
          <w:b/>
          <w:bCs/>
          <w:u w:val="single"/>
        </w:rPr>
        <w:t>Other funding increases for adult social care services</w:t>
      </w:r>
    </w:p>
    <w:p w14:paraId="06A4B207" w14:textId="3B20DEA4" w:rsidR="00B5278A" w:rsidRPr="00717FD9" w:rsidRDefault="00B5278A" w:rsidP="00B5278A">
      <w:r w:rsidRPr="00717FD9">
        <w:t xml:space="preserve">For </w:t>
      </w:r>
      <w:r w:rsidRPr="00717FD9">
        <w:rPr>
          <w:b/>
          <w:bCs/>
        </w:rPr>
        <w:t>adult social care</w:t>
      </w:r>
      <w:r w:rsidRPr="00717FD9">
        <w:t xml:space="preserve">, the additional £7 million for </w:t>
      </w:r>
      <w:r w:rsidRPr="00717FD9">
        <w:rPr>
          <w:b/>
          <w:bCs/>
        </w:rPr>
        <w:t>Free Personal and Nursing Care</w:t>
      </w:r>
      <w:r w:rsidRPr="00717FD9">
        <w:t xml:space="preserve"> in 2026-27</w:t>
      </w:r>
      <w:r w:rsidR="007D4B65" w:rsidRPr="00717FD9">
        <w:t xml:space="preserve"> remains as stated in the previous SWS Briefing</w:t>
      </w:r>
      <w:r w:rsidRPr="00717FD9">
        <w:t>. The value of payments for free personal care and nursing care is being increased by 2.23%</w:t>
      </w:r>
      <w:r w:rsidRPr="00717FD9">
        <w:rPr>
          <w:rStyle w:val="FootnoteReference"/>
        </w:rPr>
        <w:footnoteReference w:id="6"/>
      </w:r>
      <w:r w:rsidRPr="00717FD9">
        <w:t>:</w:t>
      </w:r>
    </w:p>
    <w:p w14:paraId="774E6DFD" w14:textId="77777777" w:rsidR="00B5278A" w:rsidRPr="00717FD9" w:rsidRDefault="00B5278A" w:rsidP="00B5278A"/>
    <w:tbl>
      <w:tblPr>
        <w:tblW w:w="5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356"/>
        <w:gridCol w:w="1357"/>
      </w:tblGrid>
      <w:tr w:rsidR="00B5278A" w:rsidRPr="00717FD9" w14:paraId="1CB3E061" w14:textId="77777777" w:rsidTr="006F7C88">
        <w:trPr>
          <w:trHeight w:val="300"/>
        </w:trPr>
        <w:tc>
          <w:tcPr>
            <w:tcW w:w="2689" w:type="dxa"/>
            <w:noWrap/>
            <w:vAlign w:val="center"/>
            <w:hideMark/>
          </w:tcPr>
          <w:p w14:paraId="16DE6CA3" w14:textId="77777777" w:rsidR="00B5278A" w:rsidRPr="00717FD9" w:rsidRDefault="00B5278A" w:rsidP="006F7C88">
            <w:pPr>
              <w:rPr>
                <w:rFonts w:eastAsia="Times New Roman" w:cs="Arial"/>
                <w:b/>
                <w:bCs/>
                <w:kern w:val="0"/>
                <w:lang w:eastAsia="en-GB"/>
                <w14:ligatures w14:val="none"/>
              </w:rPr>
            </w:pPr>
            <w:r w:rsidRPr="00717FD9">
              <w:rPr>
                <w:rFonts w:eastAsia="Times New Roman" w:cs="Arial"/>
                <w:b/>
                <w:bCs/>
                <w:kern w:val="0"/>
                <w:lang w:eastAsia="en-GB"/>
                <w14:ligatures w14:val="none"/>
              </w:rPr>
              <w:t>FPNC Rates</w:t>
            </w:r>
          </w:p>
        </w:tc>
        <w:tc>
          <w:tcPr>
            <w:tcW w:w="1356" w:type="dxa"/>
            <w:noWrap/>
            <w:vAlign w:val="center"/>
            <w:hideMark/>
          </w:tcPr>
          <w:p w14:paraId="6DFA6814" w14:textId="77777777" w:rsidR="00B5278A" w:rsidRPr="00717FD9" w:rsidRDefault="00B5278A" w:rsidP="006F7C88">
            <w:pPr>
              <w:jc w:val="right"/>
              <w:rPr>
                <w:rFonts w:eastAsia="Times New Roman" w:cs="Arial"/>
                <w:b/>
                <w:bCs/>
                <w:color w:val="000000"/>
                <w:kern w:val="0"/>
                <w:lang w:eastAsia="en-GB"/>
                <w14:ligatures w14:val="none"/>
              </w:rPr>
            </w:pPr>
            <w:r w:rsidRPr="00717FD9">
              <w:rPr>
                <w:rFonts w:eastAsia="Times New Roman" w:cs="Arial"/>
                <w:b/>
                <w:bCs/>
                <w:color w:val="000000"/>
                <w:kern w:val="0"/>
                <w:lang w:eastAsia="en-GB"/>
                <w14:ligatures w14:val="none"/>
              </w:rPr>
              <w:t>2025-26</w:t>
            </w:r>
          </w:p>
        </w:tc>
        <w:tc>
          <w:tcPr>
            <w:tcW w:w="1357" w:type="dxa"/>
            <w:noWrap/>
            <w:vAlign w:val="center"/>
            <w:hideMark/>
          </w:tcPr>
          <w:p w14:paraId="3A77B051" w14:textId="77777777" w:rsidR="00B5278A" w:rsidRPr="00717FD9" w:rsidRDefault="00B5278A" w:rsidP="006F7C88">
            <w:pPr>
              <w:jc w:val="right"/>
              <w:rPr>
                <w:rFonts w:eastAsia="Times New Roman" w:cs="Arial"/>
                <w:b/>
                <w:bCs/>
                <w:color w:val="000000"/>
                <w:kern w:val="0"/>
                <w:lang w:eastAsia="en-GB"/>
                <w14:ligatures w14:val="none"/>
              </w:rPr>
            </w:pPr>
            <w:r w:rsidRPr="00717FD9">
              <w:rPr>
                <w:rFonts w:eastAsia="Times New Roman" w:cs="Arial"/>
                <w:b/>
                <w:bCs/>
                <w:color w:val="000000"/>
                <w:kern w:val="0"/>
                <w:lang w:eastAsia="en-GB"/>
                <w14:ligatures w14:val="none"/>
              </w:rPr>
              <w:t>2026-27</w:t>
            </w:r>
          </w:p>
        </w:tc>
      </w:tr>
      <w:tr w:rsidR="00B5278A" w:rsidRPr="00717FD9" w14:paraId="2A1EABBF" w14:textId="77777777" w:rsidTr="006F7C88">
        <w:trPr>
          <w:trHeight w:val="300"/>
        </w:trPr>
        <w:tc>
          <w:tcPr>
            <w:tcW w:w="2689" w:type="dxa"/>
            <w:noWrap/>
            <w:vAlign w:val="center"/>
            <w:hideMark/>
          </w:tcPr>
          <w:p w14:paraId="3BB3B19F" w14:textId="77777777" w:rsidR="00B5278A" w:rsidRPr="00717FD9" w:rsidRDefault="00B5278A" w:rsidP="006F7C88">
            <w:pPr>
              <w:rPr>
                <w:rFonts w:eastAsia="Times New Roman" w:cs="Arial"/>
                <w:color w:val="000000"/>
                <w:kern w:val="0"/>
                <w:lang w:eastAsia="en-GB"/>
                <w14:ligatures w14:val="none"/>
              </w:rPr>
            </w:pPr>
            <w:r w:rsidRPr="00717FD9">
              <w:rPr>
                <w:rFonts w:eastAsia="Times New Roman" w:cs="Arial"/>
                <w:color w:val="000000"/>
                <w:kern w:val="0"/>
                <w:lang w:eastAsia="en-GB"/>
                <w14:ligatures w14:val="none"/>
              </w:rPr>
              <w:t>Free Personal Care</w:t>
            </w:r>
          </w:p>
        </w:tc>
        <w:tc>
          <w:tcPr>
            <w:tcW w:w="1356" w:type="dxa"/>
            <w:noWrap/>
            <w:vAlign w:val="center"/>
            <w:hideMark/>
          </w:tcPr>
          <w:p w14:paraId="77B1E611" w14:textId="77777777" w:rsidR="00B5278A" w:rsidRPr="00717FD9" w:rsidRDefault="00B5278A" w:rsidP="006F7C88">
            <w:pPr>
              <w:jc w:val="right"/>
              <w:rPr>
                <w:rFonts w:eastAsia="Times New Roman" w:cs="Arial"/>
                <w:color w:val="000000"/>
                <w:kern w:val="0"/>
                <w:lang w:eastAsia="en-GB"/>
                <w14:ligatures w14:val="none"/>
              </w:rPr>
            </w:pPr>
            <w:r w:rsidRPr="00717FD9">
              <w:rPr>
                <w:rFonts w:eastAsia="Times New Roman" w:cs="Arial"/>
                <w:color w:val="000000"/>
                <w:kern w:val="0"/>
                <w:lang w:eastAsia="en-GB"/>
                <w14:ligatures w14:val="none"/>
              </w:rPr>
              <w:t>£254.60</w:t>
            </w:r>
          </w:p>
        </w:tc>
        <w:tc>
          <w:tcPr>
            <w:tcW w:w="1357" w:type="dxa"/>
            <w:noWrap/>
            <w:vAlign w:val="center"/>
            <w:hideMark/>
          </w:tcPr>
          <w:p w14:paraId="7ED41B0D" w14:textId="77777777" w:rsidR="00B5278A" w:rsidRPr="00717FD9" w:rsidRDefault="00B5278A" w:rsidP="006F7C88">
            <w:pPr>
              <w:jc w:val="right"/>
              <w:rPr>
                <w:rFonts w:eastAsia="Times New Roman" w:cs="Arial"/>
                <w:color w:val="000000"/>
                <w:kern w:val="0"/>
                <w:lang w:eastAsia="en-GB"/>
                <w14:ligatures w14:val="none"/>
              </w:rPr>
            </w:pPr>
            <w:r w:rsidRPr="00717FD9">
              <w:rPr>
                <w:rFonts w:eastAsia="Times New Roman" w:cs="Arial"/>
                <w:color w:val="000000"/>
                <w:kern w:val="0"/>
                <w:lang w:eastAsia="en-GB"/>
                <w14:ligatures w14:val="none"/>
              </w:rPr>
              <w:t>£260.30</w:t>
            </w:r>
          </w:p>
        </w:tc>
      </w:tr>
      <w:tr w:rsidR="00B5278A" w:rsidRPr="00717FD9" w14:paraId="28F006FC" w14:textId="77777777" w:rsidTr="006F7C88">
        <w:trPr>
          <w:trHeight w:val="300"/>
        </w:trPr>
        <w:tc>
          <w:tcPr>
            <w:tcW w:w="2689" w:type="dxa"/>
            <w:noWrap/>
            <w:vAlign w:val="center"/>
            <w:hideMark/>
          </w:tcPr>
          <w:p w14:paraId="75AF991F" w14:textId="77777777" w:rsidR="00B5278A" w:rsidRPr="00717FD9" w:rsidRDefault="00B5278A" w:rsidP="006F7C88">
            <w:pPr>
              <w:rPr>
                <w:rFonts w:eastAsia="Times New Roman" w:cs="Arial"/>
                <w:color w:val="000000"/>
                <w:kern w:val="0"/>
                <w:lang w:eastAsia="en-GB"/>
                <w14:ligatures w14:val="none"/>
              </w:rPr>
            </w:pPr>
            <w:r w:rsidRPr="00717FD9">
              <w:rPr>
                <w:rFonts w:eastAsia="Times New Roman" w:cs="Arial"/>
                <w:color w:val="000000"/>
                <w:kern w:val="0"/>
                <w:lang w:eastAsia="en-GB"/>
                <w14:ligatures w14:val="none"/>
              </w:rPr>
              <w:t>Free Nursing Care</w:t>
            </w:r>
          </w:p>
        </w:tc>
        <w:tc>
          <w:tcPr>
            <w:tcW w:w="1356" w:type="dxa"/>
            <w:noWrap/>
            <w:vAlign w:val="center"/>
            <w:hideMark/>
          </w:tcPr>
          <w:p w14:paraId="6C923930" w14:textId="77777777" w:rsidR="00B5278A" w:rsidRPr="00717FD9" w:rsidRDefault="00B5278A" w:rsidP="006F7C88">
            <w:pPr>
              <w:jc w:val="right"/>
              <w:rPr>
                <w:rFonts w:eastAsia="Times New Roman" w:cs="Arial"/>
                <w:color w:val="000000"/>
                <w:kern w:val="0"/>
                <w:lang w:eastAsia="en-GB"/>
                <w14:ligatures w14:val="none"/>
              </w:rPr>
            </w:pPr>
            <w:r w:rsidRPr="00717FD9">
              <w:rPr>
                <w:rFonts w:eastAsia="Times New Roman" w:cs="Arial"/>
                <w:color w:val="000000"/>
                <w:kern w:val="0"/>
                <w:lang w:eastAsia="en-GB"/>
                <w14:ligatures w14:val="none"/>
              </w:rPr>
              <w:t>£114.55</w:t>
            </w:r>
          </w:p>
        </w:tc>
        <w:tc>
          <w:tcPr>
            <w:tcW w:w="1357" w:type="dxa"/>
            <w:noWrap/>
            <w:vAlign w:val="center"/>
            <w:hideMark/>
          </w:tcPr>
          <w:p w14:paraId="40A8DB40" w14:textId="77777777" w:rsidR="00B5278A" w:rsidRPr="00717FD9" w:rsidRDefault="00B5278A" w:rsidP="006F7C88">
            <w:pPr>
              <w:jc w:val="right"/>
              <w:rPr>
                <w:rFonts w:eastAsia="Times New Roman" w:cs="Arial"/>
                <w:color w:val="000000"/>
                <w:kern w:val="0"/>
                <w:lang w:eastAsia="en-GB"/>
                <w14:ligatures w14:val="none"/>
              </w:rPr>
            </w:pPr>
            <w:r w:rsidRPr="00717FD9">
              <w:rPr>
                <w:rFonts w:eastAsia="Times New Roman" w:cs="Arial"/>
                <w:color w:val="000000"/>
                <w:kern w:val="0"/>
                <w:lang w:eastAsia="en-GB"/>
                <w14:ligatures w14:val="none"/>
              </w:rPr>
              <w:t>£117.10</w:t>
            </w:r>
          </w:p>
        </w:tc>
      </w:tr>
      <w:tr w:rsidR="00B5278A" w:rsidRPr="00717FD9" w14:paraId="347B086C" w14:textId="77777777" w:rsidTr="006F7C88">
        <w:trPr>
          <w:trHeight w:val="300"/>
        </w:trPr>
        <w:tc>
          <w:tcPr>
            <w:tcW w:w="2689" w:type="dxa"/>
            <w:noWrap/>
            <w:vAlign w:val="center"/>
            <w:hideMark/>
          </w:tcPr>
          <w:p w14:paraId="1B48B822" w14:textId="77777777" w:rsidR="00B5278A" w:rsidRPr="00717FD9" w:rsidRDefault="00B5278A" w:rsidP="006F7C88">
            <w:pPr>
              <w:rPr>
                <w:rFonts w:eastAsia="Times New Roman" w:cs="Arial"/>
                <w:b/>
                <w:bCs/>
                <w:color w:val="000000"/>
                <w:kern w:val="0"/>
                <w:lang w:eastAsia="en-GB"/>
                <w14:ligatures w14:val="none"/>
              </w:rPr>
            </w:pPr>
            <w:r w:rsidRPr="00717FD9">
              <w:rPr>
                <w:rFonts w:eastAsia="Times New Roman" w:cs="Arial"/>
                <w:b/>
                <w:bCs/>
                <w:color w:val="000000"/>
                <w:kern w:val="0"/>
                <w:lang w:eastAsia="en-GB"/>
                <w14:ligatures w14:val="none"/>
              </w:rPr>
              <w:t>Both: FPNC Total</w:t>
            </w:r>
          </w:p>
        </w:tc>
        <w:tc>
          <w:tcPr>
            <w:tcW w:w="1356" w:type="dxa"/>
            <w:noWrap/>
            <w:vAlign w:val="center"/>
            <w:hideMark/>
          </w:tcPr>
          <w:p w14:paraId="4FCCA7DF" w14:textId="77777777" w:rsidR="00B5278A" w:rsidRPr="00717FD9" w:rsidRDefault="00B5278A" w:rsidP="006F7C88">
            <w:pPr>
              <w:jc w:val="right"/>
              <w:rPr>
                <w:rFonts w:eastAsia="Times New Roman" w:cs="Arial"/>
                <w:b/>
                <w:bCs/>
                <w:color w:val="000000"/>
                <w:kern w:val="0"/>
                <w:lang w:eastAsia="en-GB"/>
                <w14:ligatures w14:val="none"/>
              </w:rPr>
            </w:pPr>
            <w:r w:rsidRPr="00717FD9">
              <w:rPr>
                <w:rFonts w:eastAsia="Times New Roman" w:cs="Arial"/>
                <w:b/>
                <w:bCs/>
                <w:color w:val="000000"/>
                <w:kern w:val="0"/>
                <w:lang w:eastAsia="en-GB"/>
                <w14:ligatures w14:val="none"/>
              </w:rPr>
              <w:t>£369.15</w:t>
            </w:r>
          </w:p>
        </w:tc>
        <w:tc>
          <w:tcPr>
            <w:tcW w:w="1357" w:type="dxa"/>
            <w:noWrap/>
            <w:vAlign w:val="center"/>
            <w:hideMark/>
          </w:tcPr>
          <w:p w14:paraId="795106B3" w14:textId="77777777" w:rsidR="00B5278A" w:rsidRPr="00717FD9" w:rsidRDefault="00B5278A" w:rsidP="006F7C88">
            <w:pPr>
              <w:jc w:val="right"/>
              <w:rPr>
                <w:rFonts w:eastAsia="Times New Roman" w:cs="Arial"/>
                <w:b/>
                <w:bCs/>
                <w:color w:val="000000"/>
                <w:kern w:val="0"/>
                <w:lang w:eastAsia="en-GB"/>
                <w14:ligatures w14:val="none"/>
              </w:rPr>
            </w:pPr>
            <w:r w:rsidRPr="00717FD9">
              <w:rPr>
                <w:rFonts w:eastAsia="Times New Roman" w:cs="Arial"/>
                <w:b/>
                <w:bCs/>
                <w:color w:val="000000"/>
                <w:kern w:val="0"/>
                <w:lang w:eastAsia="en-GB"/>
                <w14:ligatures w14:val="none"/>
              </w:rPr>
              <w:t>£377.40</w:t>
            </w:r>
          </w:p>
        </w:tc>
      </w:tr>
    </w:tbl>
    <w:p w14:paraId="16DFF7FA" w14:textId="77777777" w:rsidR="00B67F13" w:rsidRPr="00717FD9" w:rsidRDefault="00B67F13"/>
    <w:p w14:paraId="4FDF64E1" w14:textId="3104B0F4" w:rsidR="00B5278A" w:rsidRDefault="00B5278A">
      <w:r w:rsidRPr="00717FD9">
        <w:lastRenderedPageBreak/>
        <w:t xml:space="preserve">Revised distributions to councils are also given in </w:t>
      </w:r>
      <w:r w:rsidRPr="00717FD9">
        <w:rPr>
          <w:b/>
          <w:bCs/>
        </w:rPr>
        <w:t>Annex A</w:t>
      </w:r>
      <w:r w:rsidR="007D4B65" w:rsidRPr="00717FD9">
        <w:t>, using the recently updated Grant-Aided expenditure statistics</w:t>
      </w:r>
      <w:r w:rsidR="002D0298">
        <w:t>.</w:t>
      </w:r>
    </w:p>
    <w:p w14:paraId="4529AD75" w14:textId="77777777" w:rsidR="005B6DA4" w:rsidRDefault="005B6DA4"/>
    <w:p w14:paraId="1FF01050" w14:textId="62FAE7A6" w:rsidR="005B6DA4" w:rsidRDefault="005B6DA4">
      <w:r>
        <w:t>We are not aware of any transfers to local authorities for adult social care from Scottish Government Health &amp; Social Care budgets; if the relevant civil servants have written to councils with such information it would be useful for Social Work Scotland to know – please forward using the email address at the end of this paper.</w:t>
      </w:r>
    </w:p>
    <w:p w14:paraId="6D80A80B" w14:textId="77777777" w:rsidR="000A5022" w:rsidRDefault="000A5022"/>
    <w:p w14:paraId="68AF5C83" w14:textId="6EB5B4D2" w:rsidR="000A5022" w:rsidRDefault="000A5022">
      <w:r>
        <w:t>The Real Living Wage and FPNC uplift</w:t>
      </w:r>
      <w:r w:rsidR="0044363D">
        <w:t>s</w:t>
      </w:r>
      <w:r>
        <w:t xml:space="preserve"> are essentially for price inflation – they do not increase the capacity of adult social care, and therefore do not address increasing demand due to the ageing population</w:t>
      </w:r>
      <w:r w:rsidR="0044363D">
        <w:t xml:space="preserve"> or the </w:t>
      </w:r>
      <w:r>
        <w:t xml:space="preserve">increasing prevalence of disabilities at all ages, and do not address increasing unmet need. </w:t>
      </w:r>
    </w:p>
    <w:p w14:paraId="5D497702" w14:textId="77777777" w:rsidR="005B6DA4" w:rsidRDefault="005B6DA4"/>
    <w:p w14:paraId="4BB0C231" w14:textId="77777777" w:rsidR="007B567A" w:rsidRPr="00717FD9" w:rsidRDefault="007B567A"/>
    <w:p w14:paraId="6C831AA7" w14:textId="336F5AD8" w:rsidR="00B5278A" w:rsidRPr="005B6DA4" w:rsidRDefault="005B6DA4" w:rsidP="005B6DA4">
      <w:pPr>
        <w:pStyle w:val="ListParagraph"/>
        <w:numPr>
          <w:ilvl w:val="0"/>
          <w:numId w:val="22"/>
        </w:numPr>
        <w:rPr>
          <w:b/>
          <w:bCs/>
          <w:u w:val="single"/>
        </w:rPr>
      </w:pPr>
      <w:r w:rsidRPr="005B6DA4">
        <w:rPr>
          <w:b/>
          <w:bCs/>
          <w:u w:val="single"/>
        </w:rPr>
        <w:t>Children and families social work services</w:t>
      </w:r>
    </w:p>
    <w:p w14:paraId="0048D1A9" w14:textId="346512C6" w:rsidR="00B5278A" w:rsidRDefault="007D4B65">
      <w:r w:rsidRPr="00717FD9">
        <w:t xml:space="preserve">The </w:t>
      </w:r>
      <w:r w:rsidR="00B5278A" w:rsidRPr="00717FD9">
        <w:t>revised Local Government finance settlement circular (No 2/2026) also included information not in the earlier provisional settlement circular on two further additions:</w:t>
      </w:r>
    </w:p>
    <w:p w14:paraId="7AE3131C" w14:textId="77777777" w:rsidR="006A05FA" w:rsidRPr="00717FD9" w:rsidRDefault="006A05FA"/>
    <w:p w14:paraId="0DF5C256" w14:textId="1CDB5A0C" w:rsidR="00B5278A" w:rsidRPr="004D128E" w:rsidRDefault="00B5278A" w:rsidP="004D128E">
      <w:pPr>
        <w:ind w:left="720"/>
      </w:pPr>
      <w:r w:rsidRPr="004D128E">
        <w:rPr>
          <w:rFonts w:eastAsia="Times New Roman"/>
          <w:b/>
          <w:bCs/>
          <w:color w:val="000000"/>
          <w:kern w:val="0"/>
          <w:lang w:eastAsia="en-GB"/>
          <w14:ligatures w14:val="none"/>
        </w:rPr>
        <w:t>Care Leaver Payments</w:t>
      </w:r>
      <w:r w:rsidRPr="004D128E">
        <w:rPr>
          <w:rFonts w:eastAsia="Times New Roman"/>
          <w:color w:val="000000"/>
          <w:kern w:val="0"/>
          <w:lang w:eastAsia="en-GB"/>
          <w14:ligatures w14:val="none"/>
        </w:rPr>
        <w:t xml:space="preserve">: </w:t>
      </w:r>
      <w:r w:rsidRPr="004D128E">
        <w:rPr>
          <w:rFonts w:eastAsia="Times New Roman"/>
          <w:color w:val="000000"/>
          <w:kern w:val="0"/>
          <w:lang w:eastAsia="en-GB"/>
          <w14:ligatures w14:val="none"/>
        </w:rPr>
        <w:tab/>
      </w:r>
      <w:r w:rsidRPr="004D128E">
        <w:rPr>
          <w:rFonts w:eastAsia="Times New Roman"/>
          <w:color w:val="000000"/>
          <w:kern w:val="0"/>
          <w:lang w:eastAsia="en-GB"/>
          <w14:ligatures w14:val="none"/>
        </w:rPr>
        <w:tab/>
      </w:r>
      <w:r w:rsidR="002B4684" w:rsidRPr="004D128E">
        <w:rPr>
          <w:rFonts w:eastAsia="Times New Roman"/>
          <w:color w:val="000000"/>
          <w:kern w:val="0"/>
          <w:lang w:eastAsia="en-GB"/>
          <w14:ligatures w14:val="none"/>
        </w:rPr>
        <w:tab/>
      </w:r>
      <w:r w:rsidR="002B4684" w:rsidRPr="004D128E">
        <w:rPr>
          <w:rFonts w:eastAsia="Times New Roman"/>
          <w:color w:val="000000"/>
          <w:kern w:val="0"/>
          <w:lang w:eastAsia="en-GB"/>
          <w14:ligatures w14:val="none"/>
        </w:rPr>
        <w:tab/>
      </w:r>
      <w:r w:rsidR="007D4B65" w:rsidRPr="004D128E">
        <w:rPr>
          <w:rFonts w:eastAsia="Times New Roman"/>
          <w:color w:val="000000"/>
          <w:kern w:val="0"/>
          <w:lang w:eastAsia="en-GB"/>
          <w14:ligatures w14:val="none"/>
        </w:rPr>
        <w:tab/>
      </w:r>
      <w:r w:rsidRPr="004D128E">
        <w:rPr>
          <w:rFonts w:eastAsia="Times New Roman"/>
          <w:color w:val="000000"/>
          <w:kern w:val="0"/>
          <w:lang w:eastAsia="en-GB"/>
          <w14:ligatures w14:val="none"/>
        </w:rPr>
        <w:t>£3.808m</w:t>
      </w:r>
      <w:r w:rsidR="002B4684" w:rsidRPr="004D128E">
        <w:rPr>
          <w:rFonts w:eastAsia="Times New Roman"/>
          <w:color w:val="000000"/>
          <w:kern w:val="0"/>
          <w:lang w:eastAsia="en-GB"/>
          <w14:ligatures w14:val="none"/>
        </w:rPr>
        <w:t>;</w:t>
      </w:r>
    </w:p>
    <w:p w14:paraId="5A87BCB6" w14:textId="1C053BC3" w:rsidR="00B5278A" w:rsidRPr="004D128E" w:rsidRDefault="00B5278A" w:rsidP="004D128E">
      <w:pPr>
        <w:ind w:left="720"/>
        <w:rPr>
          <w:rFonts w:eastAsia="Times New Roman"/>
          <w:color w:val="000000"/>
          <w:kern w:val="0"/>
          <w:lang w:eastAsia="en-GB"/>
          <w14:ligatures w14:val="none"/>
        </w:rPr>
      </w:pPr>
      <w:r w:rsidRPr="004D128E">
        <w:rPr>
          <w:rFonts w:eastAsia="Times New Roman"/>
          <w:b/>
          <w:bCs/>
          <w:color w:val="000000"/>
          <w:kern w:val="0"/>
          <w:lang w:eastAsia="en-GB"/>
          <w14:ligatures w14:val="none"/>
        </w:rPr>
        <w:t>Children Care &amp; Justice</w:t>
      </w:r>
      <w:r w:rsidRPr="004D128E">
        <w:rPr>
          <w:rFonts w:eastAsia="Times New Roman"/>
          <w:color w:val="000000"/>
          <w:kern w:val="0"/>
          <w:lang w:eastAsia="en-GB"/>
          <w14:ligatures w14:val="none"/>
        </w:rPr>
        <w:t xml:space="preserve"> </w:t>
      </w:r>
      <w:r w:rsidR="002B4684" w:rsidRPr="004D128E">
        <w:rPr>
          <w:rFonts w:eastAsia="Times New Roman"/>
          <w:b/>
          <w:bCs/>
          <w:color w:val="000000"/>
          <w:kern w:val="0"/>
          <w:lang w:eastAsia="en-GB"/>
          <w14:ligatures w14:val="none"/>
        </w:rPr>
        <w:t xml:space="preserve">(Scotland) </w:t>
      </w:r>
      <w:r w:rsidRPr="004D128E">
        <w:rPr>
          <w:rFonts w:eastAsia="Times New Roman"/>
          <w:b/>
          <w:bCs/>
          <w:color w:val="000000"/>
          <w:kern w:val="0"/>
          <w:lang w:eastAsia="en-GB"/>
          <w14:ligatures w14:val="none"/>
        </w:rPr>
        <w:t>Act</w:t>
      </w:r>
      <w:r w:rsidRPr="004D128E">
        <w:rPr>
          <w:rFonts w:eastAsia="Times New Roman"/>
          <w:b/>
          <w:bCs/>
          <w:color w:val="000000"/>
          <w:kern w:val="0"/>
          <w:lang w:eastAsia="en-GB"/>
          <w14:ligatures w14:val="none"/>
        </w:rPr>
        <w:tab/>
      </w:r>
      <w:r w:rsidR="004D128E">
        <w:rPr>
          <w:rFonts w:eastAsia="Times New Roman"/>
          <w:b/>
          <w:bCs/>
          <w:color w:val="000000"/>
          <w:kern w:val="0"/>
          <w:lang w:eastAsia="en-GB"/>
          <w14:ligatures w14:val="none"/>
        </w:rPr>
        <w:tab/>
      </w:r>
      <w:r w:rsidR="002B4684" w:rsidRPr="004D128E">
        <w:rPr>
          <w:rFonts w:eastAsia="Times New Roman"/>
          <w:color w:val="000000"/>
          <w:kern w:val="0"/>
          <w:lang w:eastAsia="en-GB"/>
          <w14:ligatures w14:val="none"/>
        </w:rPr>
        <w:tab/>
      </w:r>
      <w:r w:rsidRPr="004D128E">
        <w:rPr>
          <w:rFonts w:eastAsia="Times New Roman"/>
          <w:color w:val="000000"/>
          <w:kern w:val="0"/>
          <w:lang w:eastAsia="en-GB"/>
          <w14:ligatures w14:val="none"/>
        </w:rPr>
        <w:t>£3.500m</w:t>
      </w:r>
      <w:r w:rsidR="002B4684" w:rsidRPr="004D128E">
        <w:rPr>
          <w:rFonts w:eastAsia="Times New Roman"/>
          <w:color w:val="000000"/>
          <w:kern w:val="0"/>
          <w:lang w:eastAsia="en-GB"/>
          <w14:ligatures w14:val="none"/>
        </w:rPr>
        <w:t>.</w:t>
      </w:r>
    </w:p>
    <w:p w14:paraId="583B0C21" w14:textId="77777777" w:rsidR="00B67F13" w:rsidRDefault="00B67F13">
      <w:pPr>
        <w:rPr>
          <w:sz w:val="24"/>
          <w:szCs w:val="24"/>
        </w:rPr>
      </w:pPr>
    </w:p>
    <w:p w14:paraId="38381B03" w14:textId="77777777" w:rsidR="00D653D9" w:rsidRDefault="00D653D9" w:rsidP="00C34E19">
      <w:r>
        <w:t>T</w:t>
      </w:r>
      <w:r w:rsidR="00C34E19">
        <w:t xml:space="preserve">he </w:t>
      </w:r>
      <w:r w:rsidR="00C34E19" w:rsidRPr="006A05FA">
        <w:rPr>
          <w:b/>
          <w:bCs/>
        </w:rPr>
        <w:t>Care Leaver Payment (Scotland) Regulations 2026</w:t>
      </w:r>
      <w:r>
        <w:rPr>
          <w:rStyle w:val="FootnoteReference"/>
        </w:rPr>
        <w:footnoteReference w:id="7"/>
      </w:r>
      <w:r w:rsidR="00C34E19">
        <w:t xml:space="preserve"> were agreed by the Scottish Parliament’s </w:t>
      </w:r>
      <w:r w:rsidR="00C34E19" w:rsidRPr="00C34E19">
        <w:t>Education, Children and Young People Committee on 11 February 2026</w:t>
      </w:r>
      <w:r w:rsidR="00C34E19">
        <w:t xml:space="preserve">.  </w:t>
      </w:r>
    </w:p>
    <w:p w14:paraId="1E885CC8" w14:textId="77777777" w:rsidR="00D653D9" w:rsidRDefault="00D653D9" w:rsidP="00C34E19"/>
    <w:p w14:paraId="00F5933B" w14:textId="705C1A9A" w:rsidR="00C34E19" w:rsidRDefault="00C34E19" w:rsidP="00C34E19">
      <w:r>
        <w:t>According to the policy memorandum</w:t>
      </w:r>
      <w:r>
        <w:rPr>
          <w:rStyle w:val="FootnoteReference"/>
        </w:rPr>
        <w:footnoteReference w:id="8"/>
      </w:r>
      <w:r>
        <w:t xml:space="preserve"> for this statutory instrument: </w:t>
      </w:r>
    </w:p>
    <w:p w14:paraId="045894C4" w14:textId="2E1BF0E7" w:rsidR="00113A26" w:rsidRPr="00113A26" w:rsidRDefault="00C34E19" w:rsidP="00C64409">
      <w:pPr>
        <w:ind w:left="426"/>
        <w:rPr>
          <w:sz w:val="21"/>
          <w:szCs w:val="21"/>
        </w:rPr>
      </w:pPr>
      <w:r>
        <w:t>“</w:t>
      </w:r>
      <w:r w:rsidR="00113A26" w:rsidRPr="00113A26">
        <w:rPr>
          <w:sz w:val="21"/>
          <w:szCs w:val="21"/>
        </w:rPr>
        <w:t xml:space="preserve">The Care Leaver Payment scheme will: </w:t>
      </w:r>
    </w:p>
    <w:p w14:paraId="554FDBC6" w14:textId="77777777" w:rsidR="00113A26" w:rsidRPr="00C34E19" w:rsidRDefault="00113A26" w:rsidP="00C64409">
      <w:pPr>
        <w:pStyle w:val="ListParagraph"/>
        <w:numPr>
          <w:ilvl w:val="0"/>
          <w:numId w:val="20"/>
        </w:numPr>
        <w:tabs>
          <w:tab w:val="left" w:pos="1134"/>
        </w:tabs>
        <w:ind w:left="993" w:hanging="426"/>
        <w:rPr>
          <w:sz w:val="21"/>
          <w:szCs w:val="21"/>
        </w:rPr>
      </w:pPr>
      <w:r w:rsidRPr="00C34E19">
        <w:rPr>
          <w:sz w:val="21"/>
          <w:szCs w:val="21"/>
        </w:rPr>
        <w:t xml:space="preserve">Provide a one-off £2000 payment to young people as they transition out of the care system; </w:t>
      </w:r>
    </w:p>
    <w:p w14:paraId="73AF1A16" w14:textId="77777777" w:rsidR="00113A26" w:rsidRPr="00113A26" w:rsidRDefault="00113A26" w:rsidP="00C64409">
      <w:pPr>
        <w:pStyle w:val="ListParagraph"/>
        <w:numPr>
          <w:ilvl w:val="0"/>
          <w:numId w:val="20"/>
        </w:numPr>
        <w:tabs>
          <w:tab w:val="left" w:pos="1134"/>
        </w:tabs>
        <w:ind w:left="993" w:hanging="426"/>
        <w:rPr>
          <w:sz w:val="21"/>
          <w:szCs w:val="21"/>
        </w:rPr>
      </w:pPr>
      <w:r w:rsidRPr="00113A26">
        <w:rPr>
          <w:sz w:val="21"/>
          <w:szCs w:val="21"/>
        </w:rPr>
        <w:t xml:space="preserve">Require the local authority which last looked after the individual to deliver the payment to the eligible cohorts; </w:t>
      </w:r>
    </w:p>
    <w:p w14:paraId="1F88B20F" w14:textId="77777777" w:rsidR="00113A26" w:rsidRPr="00113A26" w:rsidRDefault="00113A26" w:rsidP="00C64409">
      <w:pPr>
        <w:pStyle w:val="ListParagraph"/>
        <w:numPr>
          <w:ilvl w:val="0"/>
          <w:numId w:val="20"/>
        </w:numPr>
        <w:tabs>
          <w:tab w:val="left" w:pos="1134"/>
        </w:tabs>
        <w:ind w:left="993" w:hanging="426"/>
        <w:rPr>
          <w:sz w:val="21"/>
          <w:szCs w:val="21"/>
        </w:rPr>
      </w:pPr>
      <w:r w:rsidRPr="00113A26">
        <w:rPr>
          <w:sz w:val="21"/>
          <w:szCs w:val="21"/>
        </w:rPr>
        <w:t xml:space="preserve">Allow the payment to be delivered without an application process at the point that the young person is leaving care and </w:t>
      </w:r>
    </w:p>
    <w:p w14:paraId="5A23AADC" w14:textId="3E9AE0F5" w:rsidR="00113A26" w:rsidRPr="00113A26" w:rsidRDefault="00113A26" w:rsidP="00C64409">
      <w:pPr>
        <w:pStyle w:val="ListParagraph"/>
        <w:numPr>
          <w:ilvl w:val="0"/>
          <w:numId w:val="20"/>
        </w:numPr>
        <w:tabs>
          <w:tab w:val="left" w:pos="1134"/>
        </w:tabs>
        <w:ind w:left="993" w:hanging="426"/>
        <w:rPr>
          <w:sz w:val="21"/>
          <w:szCs w:val="21"/>
        </w:rPr>
      </w:pPr>
      <w:r w:rsidRPr="00113A26">
        <w:rPr>
          <w:sz w:val="21"/>
          <w:szCs w:val="21"/>
        </w:rPr>
        <w:t>Require the local authority to provide advice and assistance to the young person in connection with the payment, as appropriate, in order to support the young person make best use of the payment as they transition into independent living</w:t>
      </w:r>
      <w:r w:rsidR="00E51C25">
        <w:rPr>
          <w:sz w:val="21"/>
          <w:szCs w:val="21"/>
        </w:rPr>
        <w:t>”</w:t>
      </w:r>
      <w:r w:rsidRPr="00113A26">
        <w:rPr>
          <w:sz w:val="21"/>
          <w:szCs w:val="21"/>
        </w:rPr>
        <w:t xml:space="preserve">. </w:t>
      </w:r>
    </w:p>
    <w:p w14:paraId="255EA9B8" w14:textId="77777777" w:rsidR="00113A26" w:rsidRPr="00113A26" w:rsidRDefault="00113A26" w:rsidP="00C34E19">
      <w:pPr>
        <w:ind w:left="720"/>
      </w:pPr>
    </w:p>
    <w:p w14:paraId="437D1695" w14:textId="6D6D38D5" w:rsidR="007D4B65" w:rsidRDefault="00B23CFA" w:rsidP="002B4684">
      <w:r w:rsidRPr="00B23CFA">
        <w:t>We understand that individuals who cease to be "looked after"</w:t>
      </w:r>
      <w:r w:rsidR="0044363D">
        <w:t>,</w:t>
      </w:r>
      <w:r w:rsidRPr="00B23CFA">
        <w:t xml:space="preserve"> or cease to receive continuing care</w:t>
      </w:r>
      <w:r w:rsidR="0044363D">
        <w:t>,</w:t>
      </w:r>
      <w:r>
        <w:t xml:space="preserve"> </w:t>
      </w:r>
      <w:r w:rsidRPr="00B23CFA">
        <w:t>on or after 1 April 2026</w:t>
      </w:r>
      <w:r>
        <w:t xml:space="preserve"> </w:t>
      </w:r>
      <w:r w:rsidRPr="00B23CFA">
        <w:t>are entitled to the payment.</w:t>
      </w:r>
      <w:r>
        <w:t xml:space="preserve">  </w:t>
      </w:r>
      <w:r w:rsidR="00C34E19">
        <w:t>Funding of £3.</w:t>
      </w:r>
      <w:r w:rsidR="00871417">
        <w:t>808</w:t>
      </w:r>
      <w:r w:rsidR="00C34E19">
        <w:t>m a year at £2,000 per young person implies an annual total of</w:t>
      </w:r>
      <w:r w:rsidR="00D653D9">
        <w:t xml:space="preserve"> 1,904 care leavers. </w:t>
      </w:r>
    </w:p>
    <w:p w14:paraId="7DC427F2" w14:textId="77777777" w:rsidR="00C34E19" w:rsidRPr="00B23CFA" w:rsidRDefault="00C34E19" w:rsidP="002B4684"/>
    <w:p w14:paraId="4DBD5E94" w14:textId="102E1FA3" w:rsidR="007D4B65" w:rsidRDefault="00B23CFA" w:rsidP="002B4684">
      <w:r w:rsidRPr="00B23CFA">
        <w:t xml:space="preserve">The </w:t>
      </w:r>
      <w:r w:rsidR="00871417" w:rsidRPr="004D128E">
        <w:rPr>
          <w:rFonts w:eastAsia="Times New Roman"/>
          <w:b/>
          <w:bCs/>
          <w:color w:val="000000"/>
          <w:kern w:val="0"/>
          <w:lang w:eastAsia="en-GB"/>
          <w14:ligatures w14:val="none"/>
        </w:rPr>
        <w:t>Children Care &amp; Justice</w:t>
      </w:r>
      <w:r w:rsidR="00871417" w:rsidRPr="004D128E">
        <w:rPr>
          <w:rFonts w:eastAsia="Times New Roman"/>
          <w:color w:val="000000"/>
          <w:kern w:val="0"/>
          <w:lang w:eastAsia="en-GB"/>
          <w14:ligatures w14:val="none"/>
        </w:rPr>
        <w:t xml:space="preserve"> </w:t>
      </w:r>
      <w:r w:rsidR="00871417" w:rsidRPr="004D128E">
        <w:rPr>
          <w:rFonts w:eastAsia="Times New Roman"/>
          <w:b/>
          <w:bCs/>
          <w:color w:val="000000"/>
          <w:kern w:val="0"/>
          <w:lang w:eastAsia="en-GB"/>
          <w14:ligatures w14:val="none"/>
        </w:rPr>
        <w:t>(Scotland) Act</w:t>
      </w:r>
      <w:r w:rsidR="00871417" w:rsidRPr="00B23CFA">
        <w:t xml:space="preserve"> </w:t>
      </w:r>
      <w:r w:rsidRPr="00871417">
        <w:rPr>
          <w:b/>
          <w:bCs/>
        </w:rPr>
        <w:t>funding of</w:t>
      </w:r>
      <w:r w:rsidRPr="00B23CFA">
        <w:t xml:space="preserve"> </w:t>
      </w:r>
      <w:r w:rsidRPr="00E51C25">
        <w:rPr>
          <w:b/>
          <w:bCs/>
        </w:rPr>
        <w:t>£3.5m</w:t>
      </w:r>
      <w:r w:rsidRPr="00B23CFA">
        <w:t xml:space="preserve"> is</w:t>
      </w:r>
      <w:r w:rsidR="009E2C96">
        <w:t xml:space="preserve"> largely to assist counci</w:t>
      </w:r>
      <w:r w:rsidR="00443879">
        <w:t>ls</w:t>
      </w:r>
      <w:r w:rsidR="009E2C96">
        <w:t xml:space="preserve"> to prepare for the next phases of </w:t>
      </w:r>
      <w:r w:rsidRPr="00B23CFA">
        <w:t>implementation of th</w:t>
      </w:r>
      <w:r w:rsidR="00871417">
        <w:t xml:space="preserve">is 2024 </w:t>
      </w:r>
      <w:r w:rsidRPr="00871417">
        <w:t xml:space="preserve">Act </w:t>
      </w:r>
      <w:r w:rsidR="009E2C96">
        <w:t xml:space="preserve">in 2027-28, including the extension of children’s hearings referrals to the Reporter to 17 and 18 year-olds, and the extension of aftercare  We also understand that the funding includes </w:t>
      </w:r>
      <w:r w:rsidR="00E51C25">
        <w:t xml:space="preserve">part-month </w:t>
      </w:r>
      <w:r w:rsidR="009E2C96">
        <w:t xml:space="preserve">costs for </w:t>
      </w:r>
      <w:r w:rsidR="00E51C25">
        <w:t>a</w:t>
      </w:r>
      <w:r w:rsidR="009E2C96">
        <w:t xml:space="preserve"> planned implementation</w:t>
      </w:r>
      <w:r w:rsidR="00C64409">
        <w:t xml:space="preserve"> next year</w:t>
      </w:r>
      <w:r w:rsidR="009E2C96">
        <w:t xml:space="preserve"> of the </w:t>
      </w:r>
      <w:r w:rsidR="00E51C25">
        <w:t xml:space="preserve">extension of age of referral to the Reporter in </w:t>
      </w:r>
      <w:r w:rsidR="00871417">
        <w:t xml:space="preserve">early or </w:t>
      </w:r>
      <w:r w:rsidR="00C64409">
        <w:t>mid-March</w:t>
      </w:r>
      <w:r w:rsidR="00E51C25">
        <w:t xml:space="preserve"> 202</w:t>
      </w:r>
      <w:r w:rsidR="00C64409">
        <w:t>7</w:t>
      </w:r>
      <w:r w:rsidR="00E51C25">
        <w:t xml:space="preserve">. </w:t>
      </w:r>
    </w:p>
    <w:p w14:paraId="7AE957DF" w14:textId="77777777" w:rsidR="00443879" w:rsidRDefault="00443879" w:rsidP="00443879"/>
    <w:p w14:paraId="1F8EF6D2" w14:textId="3D324E97" w:rsidR="00443879" w:rsidRDefault="00443879" w:rsidP="00443879">
      <w:r>
        <w:t>We understand that both these items for children and families social work services are being treated as “redeterminations” and that councils will be notified of their funding by letter.  The latest Grant-Aided Expenditure (GAE) Green Book exclude</w:t>
      </w:r>
      <w:r w:rsidR="00C64409">
        <w:t>s</w:t>
      </w:r>
      <w:r>
        <w:t xml:space="preserve"> determinations, but in </w:t>
      </w:r>
      <w:r w:rsidRPr="00C64409">
        <w:rPr>
          <w:b/>
          <w:bCs/>
        </w:rPr>
        <w:t>Annex A</w:t>
      </w:r>
      <w:r>
        <w:t xml:space="preserve"> we discuss the most likely distributions to councils.</w:t>
      </w:r>
    </w:p>
    <w:p w14:paraId="25029A23" w14:textId="77777777" w:rsidR="006A05FA" w:rsidRDefault="006A05FA" w:rsidP="00443879"/>
    <w:p w14:paraId="48D5B912" w14:textId="6B6E08A4" w:rsidR="006A05FA" w:rsidRPr="006A05FA" w:rsidRDefault="006A05FA" w:rsidP="006A05FA">
      <w:r w:rsidRPr="006A05FA">
        <w:t xml:space="preserve">As mentioned in our previous briefing, </w:t>
      </w:r>
      <w:r w:rsidR="00EE4C31">
        <w:t xml:space="preserve">according to the Scottish Budget </w:t>
      </w:r>
      <w:r>
        <w:t>funding for</w:t>
      </w:r>
      <w:r w:rsidRPr="006A05FA">
        <w:t xml:space="preserve"> the </w:t>
      </w:r>
      <w:r w:rsidRPr="006A05FA">
        <w:rPr>
          <w:rFonts w:eastAsia="Times New Roman" w:cs="Arial"/>
          <w:b/>
          <w:bCs/>
          <w:color w:val="000000"/>
          <w:kern w:val="0"/>
          <w:lang w:eastAsia="en-GB"/>
          <w14:ligatures w14:val="none"/>
        </w:rPr>
        <w:t>Whole Family Wellbeing Fund</w:t>
      </w:r>
      <w:r w:rsidRPr="006A05FA">
        <w:rPr>
          <w:rFonts w:eastAsia="Times New Roman" w:cs="Arial"/>
          <w:color w:val="000000"/>
          <w:kern w:val="0"/>
          <w:lang w:eastAsia="en-GB"/>
          <w14:ligatures w14:val="none"/>
        </w:rPr>
        <w:t xml:space="preserve">, is increasing by </w:t>
      </w:r>
      <w:r w:rsidRPr="006A05FA">
        <w:rPr>
          <w:rFonts w:eastAsia="Times New Roman" w:cs="Arial"/>
          <w:color w:val="000000"/>
          <w:kern w:val="0"/>
          <w:u w:val="single"/>
          <w:lang w:eastAsia="en-GB"/>
          <w14:ligatures w14:val="none"/>
        </w:rPr>
        <w:t>£5.9 million</w:t>
      </w:r>
      <w:r w:rsidRPr="006A05FA">
        <w:rPr>
          <w:rFonts w:eastAsia="Times New Roman" w:cs="Arial"/>
          <w:color w:val="000000"/>
          <w:kern w:val="0"/>
          <w:lang w:eastAsia="en-GB"/>
          <w14:ligatures w14:val="none"/>
        </w:rPr>
        <w:t xml:space="preserve">:  </w:t>
      </w:r>
    </w:p>
    <w:p w14:paraId="4429ED0C" w14:textId="4A29B28B" w:rsidR="006A05FA" w:rsidRDefault="006A05FA" w:rsidP="00443879"/>
    <w:tbl>
      <w:tblPr>
        <w:tblW w:w="8673" w:type="dxa"/>
        <w:tblLook w:val="04A0" w:firstRow="1" w:lastRow="0" w:firstColumn="1" w:lastColumn="0" w:noHBand="0" w:noVBand="1"/>
      </w:tblPr>
      <w:tblGrid>
        <w:gridCol w:w="4531"/>
        <w:gridCol w:w="993"/>
        <w:gridCol w:w="992"/>
        <w:gridCol w:w="1134"/>
        <w:gridCol w:w="1023"/>
      </w:tblGrid>
      <w:tr w:rsidR="00EE4C31" w:rsidRPr="00EE4C31" w14:paraId="63D11A8A" w14:textId="77777777" w:rsidTr="00E234B5">
        <w:trPr>
          <w:trHeight w:val="300"/>
          <w:tblHeader/>
        </w:trPr>
        <w:tc>
          <w:tcPr>
            <w:tcW w:w="4531" w:type="dxa"/>
            <w:tcBorders>
              <w:top w:val="single" w:sz="4" w:space="0" w:color="auto"/>
              <w:left w:val="single" w:sz="4" w:space="0" w:color="auto"/>
              <w:bottom w:val="single" w:sz="4" w:space="0" w:color="auto"/>
              <w:right w:val="single" w:sz="4" w:space="0" w:color="auto"/>
            </w:tcBorders>
            <w:vAlign w:val="bottom"/>
            <w:hideMark/>
          </w:tcPr>
          <w:p w14:paraId="190C381D" w14:textId="77777777" w:rsidR="00EE4C31" w:rsidRPr="00EE4C31" w:rsidRDefault="00EE4C31" w:rsidP="00F03D2C">
            <w:pPr>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Scottish Budget 2026-27</w:t>
            </w:r>
          </w:p>
        </w:tc>
        <w:tc>
          <w:tcPr>
            <w:tcW w:w="993" w:type="dxa"/>
            <w:tcBorders>
              <w:top w:val="single" w:sz="4" w:space="0" w:color="auto"/>
              <w:left w:val="nil"/>
              <w:bottom w:val="single" w:sz="4" w:space="0" w:color="auto"/>
              <w:right w:val="single" w:sz="4" w:space="0" w:color="auto"/>
            </w:tcBorders>
            <w:vAlign w:val="bottom"/>
            <w:hideMark/>
          </w:tcPr>
          <w:p w14:paraId="04D167C3"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2024-25</w:t>
            </w:r>
          </w:p>
        </w:tc>
        <w:tc>
          <w:tcPr>
            <w:tcW w:w="992" w:type="dxa"/>
            <w:tcBorders>
              <w:top w:val="single" w:sz="4" w:space="0" w:color="auto"/>
              <w:left w:val="nil"/>
              <w:bottom w:val="single" w:sz="4" w:space="0" w:color="auto"/>
              <w:right w:val="single" w:sz="4" w:space="0" w:color="auto"/>
            </w:tcBorders>
            <w:vAlign w:val="bottom"/>
            <w:hideMark/>
          </w:tcPr>
          <w:p w14:paraId="7086524B"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2025-26</w:t>
            </w:r>
          </w:p>
        </w:tc>
        <w:tc>
          <w:tcPr>
            <w:tcW w:w="1134" w:type="dxa"/>
            <w:tcBorders>
              <w:top w:val="single" w:sz="4" w:space="0" w:color="auto"/>
              <w:left w:val="nil"/>
              <w:bottom w:val="single" w:sz="4" w:space="0" w:color="auto"/>
              <w:right w:val="single" w:sz="4" w:space="0" w:color="auto"/>
            </w:tcBorders>
            <w:vAlign w:val="bottom"/>
            <w:hideMark/>
          </w:tcPr>
          <w:p w14:paraId="6C0FF8C3"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2026-27</w:t>
            </w:r>
          </w:p>
        </w:tc>
        <w:tc>
          <w:tcPr>
            <w:tcW w:w="1023" w:type="dxa"/>
            <w:tcBorders>
              <w:top w:val="single" w:sz="4" w:space="0" w:color="auto"/>
              <w:left w:val="nil"/>
              <w:bottom w:val="single" w:sz="4" w:space="0" w:color="auto"/>
              <w:right w:val="single" w:sz="4" w:space="0" w:color="auto"/>
            </w:tcBorders>
            <w:noWrap/>
            <w:vAlign w:val="bottom"/>
            <w:hideMark/>
          </w:tcPr>
          <w:p w14:paraId="3BC731DF"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Change</w:t>
            </w:r>
          </w:p>
        </w:tc>
      </w:tr>
      <w:tr w:rsidR="00EE4C31" w:rsidRPr="00EE4C31" w14:paraId="0D67F874" w14:textId="77777777" w:rsidTr="00E234B5">
        <w:trPr>
          <w:trHeight w:val="300"/>
          <w:tblHeader/>
        </w:trPr>
        <w:tc>
          <w:tcPr>
            <w:tcW w:w="4531" w:type="dxa"/>
            <w:tcBorders>
              <w:top w:val="nil"/>
              <w:left w:val="single" w:sz="4" w:space="0" w:color="auto"/>
              <w:bottom w:val="single" w:sz="4" w:space="0" w:color="auto"/>
              <w:right w:val="single" w:sz="4" w:space="0" w:color="auto"/>
            </w:tcBorders>
            <w:vAlign w:val="bottom"/>
            <w:hideMark/>
          </w:tcPr>
          <w:p w14:paraId="67F41ADD" w14:textId="77777777" w:rsidR="00EE4C31" w:rsidRPr="00EE4C31" w:rsidRDefault="00EE4C31" w:rsidP="00F03D2C">
            <w:pPr>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 xml:space="preserve">Whole Family Wellbeing Fund </w:t>
            </w:r>
          </w:p>
        </w:tc>
        <w:tc>
          <w:tcPr>
            <w:tcW w:w="993" w:type="dxa"/>
            <w:tcBorders>
              <w:top w:val="nil"/>
              <w:left w:val="nil"/>
              <w:bottom w:val="single" w:sz="4" w:space="0" w:color="auto"/>
              <w:right w:val="single" w:sz="4" w:space="0" w:color="auto"/>
            </w:tcBorders>
            <w:vAlign w:val="bottom"/>
            <w:hideMark/>
          </w:tcPr>
          <w:p w14:paraId="1AB77E5B"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£m</w:t>
            </w:r>
          </w:p>
        </w:tc>
        <w:tc>
          <w:tcPr>
            <w:tcW w:w="992" w:type="dxa"/>
            <w:tcBorders>
              <w:top w:val="nil"/>
              <w:left w:val="nil"/>
              <w:bottom w:val="single" w:sz="4" w:space="0" w:color="auto"/>
              <w:right w:val="single" w:sz="4" w:space="0" w:color="auto"/>
            </w:tcBorders>
            <w:vAlign w:val="bottom"/>
            <w:hideMark/>
          </w:tcPr>
          <w:p w14:paraId="0C773C62"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£m</w:t>
            </w:r>
          </w:p>
        </w:tc>
        <w:tc>
          <w:tcPr>
            <w:tcW w:w="1134" w:type="dxa"/>
            <w:tcBorders>
              <w:top w:val="nil"/>
              <w:left w:val="nil"/>
              <w:bottom w:val="single" w:sz="4" w:space="0" w:color="auto"/>
              <w:right w:val="single" w:sz="4" w:space="0" w:color="auto"/>
            </w:tcBorders>
            <w:vAlign w:val="bottom"/>
            <w:hideMark/>
          </w:tcPr>
          <w:p w14:paraId="55542E7A"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£m</w:t>
            </w:r>
          </w:p>
        </w:tc>
        <w:tc>
          <w:tcPr>
            <w:tcW w:w="1023" w:type="dxa"/>
            <w:tcBorders>
              <w:top w:val="nil"/>
              <w:left w:val="nil"/>
              <w:bottom w:val="single" w:sz="4" w:space="0" w:color="auto"/>
              <w:right w:val="single" w:sz="4" w:space="0" w:color="auto"/>
            </w:tcBorders>
            <w:noWrap/>
            <w:vAlign w:val="bottom"/>
            <w:hideMark/>
          </w:tcPr>
          <w:p w14:paraId="1987E4FA"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£m</w:t>
            </w:r>
          </w:p>
        </w:tc>
      </w:tr>
      <w:tr w:rsidR="00EE4C31" w:rsidRPr="00EE4C31" w14:paraId="26C4F191" w14:textId="77777777" w:rsidTr="00EE4C31">
        <w:trPr>
          <w:trHeight w:val="600"/>
        </w:trPr>
        <w:tc>
          <w:tcPr>
            <w:tcW w:w="4531" w:type="dxa"/>
            <w:tcBorders>
              <w:top w:val="nil"/>
              <w:left w:val="single" w:sz="4" w:space="0" w:color="auto"/>
              <w:bottom w:val="single" w:sz="4" w:space="0" w:color="auto"/>
              <w:right w:val="single" w:sz="4" w:space="0" w:color="auto"/>
            </w:tcBorders>
            <w:vAlign w:val="bottom"/>
            <w:hideMark/>
          </w:tcPr>
          <w:p w14:paraId="68B3455E" w14:textId="77777777" w:rsidR="00EE4C31" w:rsidRPr="00EE4C31" w:rsidRDefault="00EE4C31" w:rsidP="00F03D2C">
            <w:pPr>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Table 4.15: Revenue Funding within Other Portfolios to be Transferred In-Year</w:t>
            </w:r>
          </w:p>
        </w:tc>
        <w:tc>
          <w:tcPr>
            <w:tcW w:w="993" w:type="dxa"/>
            <w:tcBorders>
              <w:top w:val="nil"/>
              <w:left w:val="nil"/>
              <w:bottom w:val="single" w:sz="4" w:space="0" w:color="auto"/>
              <w:right w:val="single" w:sz="4" w:space="0" w:color="auto"/>
            </w:tcBorders>
            <w:noWrap/>
            <w:vAlign w:val="center"/>
            <w:hideMark/>
          </w:tcPr>
          <w:p w14:paraId="40790F13" w14:textId="77777777" w:rsidR="00EE4C31" w:rsidRPr="00EE4C31" w:rsidRDefault="00EE4C31" w:rsidP="00F03D2C">
            <w:pPr>
              <w:jc w:val="right"/>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32.0</w:t>
            </w:r>
          </w:p>
        </w:tc>
        <w:tc>
          <w:tcPr>
            <w:tcW w:w="992" w:type="dxa"/>
            <w:tcBorders>
              <w:top w:val="nil"/>
              <w:left w:val="nil"/>
              <w:bottom w:val="single" w:sz="4" w:space="0" w:color="auto"/>
              <w:right w:val="single" w:sz="4" w:space="0" w:color="auto"/>
            </w:tcBorders>
            <w:noWrap/>
            <w:vAlign w:val="center"/>
            <w:hideMark/>
          </w:tcPr>
          <w:p w14:paraId="7F442344" w14:textId="77777777" w:rsidR="00EE4C31" w:rsidRPr="00EE4C31" w:rsidRDefault="00EE4C31" w:rsidP="00F03D2C">
            <w:pPr>
              <w:jc w:val="right"/>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32.0</w:t>
            </w:r>
          </w:p>
        </w:tc>
        <w:tc>
          <w:tcPr>
            <w:tcW w:w="1134" w:type="dxa"/>
            <w:tcBorders>
              <w:top w:val="nil"/>
              <w:left w:val="nil"/>
              <w:bottom w:val="single" w:sz="4" w:space="0" w:color="auto"/>
              <w:right w:val="single" w:sz="4" w:space="0" w:color="auto"/>
            </w:tcBorders>
            <w:noWrap/>
            <w:vAlign w:val="center"/>
            <w:hideMark/>
          </w:tcPr>
          <w:p w14:paraId="7409DFF6" w14:textId="77777777" w:rsidR="00EE4C31" w:rsidRPr="00EE4C31" w:rsidRDefault="00EE4C31" w:rsidP="00F03D2C">
            <w:pPr>
              <w:jc w:val="right"/>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38.1</w:t>
            </w:r>
          </w:p>
        </w:tc>
        <w:tc>
          <w:tcPr>
            <w:tcW w:w="1023" w:type="dxa"/>
            <w:tcBorders>
              <w:top w:val="nil"/>
              <w:left w:val="nil"/>
              <w:bottom w:val="single" w:sz="4" w:space="0" w:color="auto"/>
              <w:right w:val="single" w:sz="4" w:space="0" w:color="auto"/>
            </w:tcBorders>
            <w:noWrap/>
            <w:vAlign w:val="center"/>
            <w:hideMark/>
          </w:tcPr>
          <w:p w14:paraId="39E1CEBD" w14:textId="77777777" w:rsidR="00EE4C31" w:rsidRPr="00EE4C31" w:rsidRDefault="00EE4C31" w:rsidP="00F03D2C">
            <w:pPr>
              <w:ind w:firstLineChars="100" w:firstLine="200"/>
              <w:jc w:val="right"/>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6.1</w:t>
            </w:r>
          </w:p>
        </w:tc>
      </w:tr>
      <w:tr w:rsidR="00EE4C31" w:rsidRPr="00EE4C31" w14:paraId="2E92F40B" w14:textId="77777777" w:rsidTr="00EE4C31">
        <w:trPr>
          <w:trHeight w:val="600"/>
        </w:trPr>
        <w:tc>
          <w:tcPr>
            <w:tcW w:w="4531" w:type="dxa"/>
            <w:tcBorders>
              <w:top w:val="nil"/>
              <w:left w:val="single" w:sz="4" w:space="0" w:color="auto"/>
              <w:bottom w:val="single" w:sz="4" w:space="0" w:color="auto"/>
              <w:right w:val="single" w:sz="4" w:space="0" w:color="auto"/>
            </w:tcBorders>
            <w:vAlign w:val="bottom"/>
            <w:hideMark/>
          </w:tcPr>
          <w:p w14:paraId="6C741766" w14:textId="77777777" w:rsidR="00EE4C31" w:rsidRPr="00EE4C31" w:rsidRDefault="00EE4C31" w:rsidP="00F03D2C">
            <w:pPr>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Table 4.17: Estimated Local Government Funding outwith Core Settlement</w:t>
            </w:r>
          </w:p>
        </w:tc>
        <w:tc>
          <w:tcPr>
            <w:tcW w:w="993" w:type="dxa"/>
            <w:tcBorders>
              <w:top w:val="nil"/>
              <w:left w:val="nil"/>
              <w:bottom w:val="single" w:sz="4" w:space="0" w:color="auto"/>
              <w:right w:val="single" w:sz="4" w:space="0" w:color="auto"/>
            </w:tcBorders>
            <w:noWrap/>
            <w:vAlign w:val="center"/>
            <w:hideMark/>
          </w:tcPr>
          <w:p w14:paraId="3CB28816" w14:textId="77777777" w:rsidR="00EE4C31" w:rsidRPr="00EE4C31" w:rsidRDefault="00EE4C31" w:rsidP="00F03D2C">
            <w:pPr>
              <w:jc w:val="right"/>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0.5</w:t>
            </w:r>
          </w:p>
        </w:tc>
        <w:tc>
          <w:tcPr>
            <w:tcW w:w="992" w:type="dxa"/>
            <w:tcBorders>
              <w:top w:val="nil"/>
              <w:left w:val="nil"/>
              <w:bottom w:val="single" w:sz="4" w:space="0" w:color="auto"/>
              <w:right w:val="single" w:sz="4" w:space="0" w:color="auto"/>
            </w:tcBorders>
            <w:noWrap/>
            <w:vAlign w:val="center"/>
            <w:hideMark/>
          </w:tcPr>
          <w:p w14:paraId="281B7A5A" w14:textId="77777777" w:rsidR="00EE4C31" w:rsidRPr="00EE4C31" w:rsidRDefault="00EE4C31" w:rsidP="00F03D2C">
            <w:pPr>
              <w:jc w:val="right"/>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0.5</w:t>
            </w:r>
          </w:p>
        </w:tc>
        <w:tc>
          <w:tcPr>
            <w:tcW w:w="1134" w:type="dxa"/>
            <w:tcBorders>
              <w:top w:val="nil"/>
              <w:left w:val="nil"/>
              <w:bottom w:val="single" w:sz="4" w:space="0" w:color="auto"/>
              <w:right w:val="single" w:sz="4" w:space="0" w:color="auto"/>
            </w:tcBorders>
            <w:noWrap/>
            <w:vAlign w:val="center"/>
            <w:hideMark/>
          </w:tcPr>
          <w:p w14:paraId="413197AD" w14:textId="77777777" w:rsidR="00EE4C31" w:rsidRPr="00EE4C31" w:rsidRDefault="00EE4C31" w:rsidP="00F03D2C">
            <w:pPr>
              <w:jc w:val="right"/>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0.3</w:t>
            </w:r>
          </w:p>
        </w:tc>
        <w:tc>
          <w:tcPr>
            <w:tcW w:w="1023" w:type="dxa"/>
            <w:tcBorders>
              <w:top w:val="nil"/>
              <w:left w:val="nil"/>
              <w:bottom w:val="single" w:sz="4" w:space="0" w:color="auto"/>
              <w:right w:val="single" w:sz="4" w:space="0" w:color="auto"/>
            </w:tcBorders>
            <w:noWrap/>
            <w:vAlign w:val="center"/>
            <w:hideMark/>
          </w:tcPr>
          <w:p w14:paraId="26949E8B" w14:textId="77777777" w:rsidR="00EE4C31" w:rsidRPr="00EE4C31" w:rsidRDefault="00EE4C31" w:rsidP="00F03D2C">
            <w:pPr>
              <w:ind w:firstLineChars="100" w:firstLine="200"/>
              <w:jc w:val="right"/>
              <w:rPr>
                <w:rFonts w:eastAsia="Times New Roman" w:cs="Arial"/>
                <w:color w:val="000000"/>
                <w:kern w:val="0"/>
                <w:sz w:val="20"/>
                <w:szCs w:val="20"/>
                <w:lang w:eastAsia="en-GB"/>
                <w14:ligatures w14:val="none"/>
              </w:rPr>
            </w:pPr>
            <w:r w:rsidRPr="00EE4C31">
              <w:rPr>
                <w:rFonts w:eastAsia="Times New Roman" w:cs="Arial"/>
                <w:color w:val="000000"/>
                <w:kern w:val="0"/>
                <w:sz w:val="20"/>
                <w:szCs w:val="20"/>
                <w:lang w:eastAsia="en-GB"/>
                <w14:ligatures w14:val="none"/>
              </w:rPr>
              <w:t>-0.2</w:t>
            </w:r>
          </w:p>
        </w:tc>
      </w:tr>
      <w:tr w:rsidR="00EE4C31" w:rsidRPr="00EE4C31" w14:paraId="19746227" w14:textId="77777777" w:rsidTr="00EE4C31">
        <w:trPr>
          <w:trHeight w:val="300"/>
        </w:trPr>
        <w:tc>
          <w:tcPr>
            <w:tcW w:w="4531" w:type="dxa"/>
            <w:tcBorders>
              <w:top w:val="nil"/>
              <w:left w:val="single" w:sz="4" w:space="0" w:color="auto"/>
              <w:bottom w:val="single" w:sz="4" w:space="0" w:color="auto"/>
              <w:right w:val="single" w:sz="4" w:space="0" w:color="auto"/>
            </w:tcBorders>
            <w:vAlign w:val="bottom"/>
            <w:hideMark/>
          </w:tcPr>
          <w:p w14:paraId="56A910A7" w14:textId="77777777" w:rsidR="00EE4C31" w:rsidRPr="00EE4C31" w:rsidRDefault="00EE4C31" w:rsidP="00F03D2C">
            <w:pPr>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Total</w:t>
            </w:r>
          </w:p>
        </w:tc>
        <w:tc>
          <w:tcPr>
            <w:tcW w:w="993" w:type="dxa"/>
            <w:tcBorders>
              <w:top w:val="nil"/>
              <w:left w:val="nil"/>
              <w:bottom w:val="single" w:sz="4" w:space="0" w:color="auto"/>
              <w:right w:val="single" w:sz="4" w:space="0" w:color="auto"/>
            </w:tcBorders>
            <w:noWrap/>
            <w:vAlign w:val="bottom"/>
            <w:hideMark/>
          </w:tcPr>
          <w:p w14:paraId="2EF0BB86"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32.5</w:t>
            </w:r>
          </w:p>
        </w:tc>
        <w:tc>
          <w:tcPr>
            <w:tcW w:w="992" w:type="dxa"/>
            <w:tcBorders>
              <w:top w:val="nil"/>
              <w:left w:val="nil"/>
              <w:bottom w:val="single" w:sz="4" w:space="0" w:color="auto"/>
              <w:right w:val="single" w:sz="4" w:space="0" w:color="auto"/>
            </w:tcBorders>
            <w:noWrap/>
            <w:vAlign w:val="bottom"/>
            <w:hideMark/>
          </w:tcPr>
          <w:p w14:paraId="6456C9E3"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32.5</w:t>
            </w:r>
          </w:p>
        </w:tc>
        <w:tc>
          <w:tcPr>
            <w:tcW w:w="1134" w:type="dxa"/>
            <w:tcBorders>
              <w:top w:val="nil"/>
              <w:left w:val="nil"/>
              <w:bottom w:val="single" w:sz="4" w:space="0" w:color="auto"/>
              <w:right w:val="single" w:sz="4" w:space="0" w:color="auto"/>
            </w:tcBorders>
            <w:noWrap/>
            <w:vAlign w:val="bottom"/>
            <w:hideMark/>
          </w:tcPr>
          <w:p w14:paraId="708BEADE" w14:textId="77777777" w:rsidR="00EE4C31" w:rsidRPr="00EE4C31" w:rsidRDefault="00EE4C31" w:rsidP="00F03D2C">
            <w:pPr>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38.4</w:t>
            </w:r>
          </w:p>
        </w:tc>
        <w:tc>
          <w:tcPr>
            <w:tcW w:w="1023" w:type="dxa"/>
            <w:tcBorders>
              <w:top w:val="nil"/>
              <w:left w:val="nil"/>
              <w:bottom w:val="single" w:sz="4" w:space="0" w:color="auto"/>
              <w:right w:val="single" w:sz="4" w:space="0" w:color="auto"/>
            </w:tcBorders>
            <w:noWrap/>
            <w:vAlign w:val="center"/>
            <w:hideMark/>
          </w:tcPr>
          <w:p w14:paraId="42BE4BF2" w14:textId="77777777" w:rsidR="00EE4C31" w:rsidRPr="00EE4C31" w:rsidRDefault="00EE4C31" w:rsidP="00F03D2C">
            <w:pPr>
              <w:ind w:firstLineChars="100" w:firstLine="201"/>
              <w:jc w:val="right"/>
              <w:rPr>
                <w:rFonts w:eastAsia="Times New Roman" w:cs="Arial"/>
                <w:b/>
                <w:bCs/>
                <w:color w:val="000000"/>
                <w:kern w:val="0"/>
                <w:sz w:val="20"/>
                <w:szCs w:val="20"/>
                <w:lang w:eastAsia="en-GB"/>
                <w14:ligatures w14:val="none"/>
              </w:rPr>
            </w:pPr>
            <w:r w:rsidRPr="00EE4C31">
              <w:rPr>
                <w:rFonts w:eastAsia="Times New Roman" w:cs="Arial"/>
                <w:b/>
                <w:bCs/>
                <w:color w:val="000000"/>
                <w:kern w:val="0"/>
                <w:sz w:val="20"/>
                <w:szCs w:val="20"/>
                <w:lang w:eastAsia="en-GB"/>
                <w14:ligatures w14:val="none"/>
              </w:rPr>
              <w:t>5.9</w:t>
            </w:r>
          </w:p>
        </w:tc>
      </w:tr>
    </w:tbl>
    <w:p w14:paraId="20E6207A" w14:textId="77777777" w:rsidR="00EE4C31" w:rsidRDefault="00EE4C31" w:rsidP="00EE4C31">
      <w:pPr>
        <w:rPr>
          <w:rFonts w:eastAsia="Times New Roman" w:cs="Arial"/>
          <w:color w:val="000000"/>
          <w:kern w:val="0"/>
          <w:lang w:eastAsia="en-GB"/>
          <w14:ligatures w14:val="none"/>
        </w:rPr>
      </w:pPr>
    </w:p>
    <w:p w14:paraId="7BF15595" w14:textId="1A50AFF7" w:rsidR="006A05FA" w:rsidRDefault="00EE4C31" w:rsidP="00443879">
      <w:r>
        <w:t xml:space="preserve">However, the Scottish Budget figures are different from what is in the GAE Green Books, which show £38.1m for both 2025-26 and 2026-27 – we will seek clarifications from civil servants. Meanwhile, </w:t>
      </w:r>
      <w:r w:rsidR="00007790">
        <w:t>Annex A shows the distributions to councils on the assumption that</w:t>
      </w:r>
      <w:r>
        <w:t xml:space="preserve"> </w:t>
      </w:r>
      <w:r w:rsidR="00007790">
        <w:t xml:space="preserve">there is a £5.9M </w:t>
      </w:r>
      <w:r w:rsidR="0044363D">
        <w:t xml:space="preserve">increase </w:t>
      </w:r>
      <w:r w:rsidR="00007790">
        <w:t xml:space="preserve">as shown in the Scottish Budget, </w:t>
      </w:r>
      <w:r w:rsidR="0044363D">
        <w:t xml:space="preserve">since that was </w:t>
      </w:r>
      <w:r w:rsidR="00007790">
        <w:t>agreed by Parliament.</w:t>
      </w:r>
    </w:p>
    <w:p w14:paraId="4670E020" w14:textId="77777777" w:rsidR="00EE4C31" w:rsidRDefault="00EE4C31" w:rsidP="00443879"/>
    <w:p w14:paraId="19AFC7A4" w14:textId="77777777" w:rsidR="007B567A" w:rsidRDefault="007B567A" w:rsidP="00443879"/>
    <w:p w14:paraId="34E1B33A" w14:textId="1BB077F5" w:rsidR="006A05FA" w:rsidRPr="005B6DA4" w:rsidRDefault="006A05FA" w:rsidP="006A05FA">
      <w:pPr>
        <w:pStyle w:val="ListParagraph"/>
        <w:numPr>
          <w:ilvl w:val="0"/>
          <w:numId w:val="22"/>
        </w:numPr>
        <w:rPr>
          <w:b/>
          <w:bCs/>
          <w:u w:val="single"/>
        </w:rPr>
      </w:pPr>
      <w:r>
        <w:rPr>
          <w:b/>
          <w:bCs/>
          <w:u w:val="single"/>
        </w:rPr>
        <w:t>Justice S</w:t>
      </w:r>
      <w:r w:rsidRPr="005B6DA4">
        <w:rPr>
          <w:b/>
          <w:bCs/>
          <w:u w:val="single"/>
        </w:rPr>
        <w:t xml:space="preserve">ocial </w:t>
      </w:r>
      <w:r>
        <w:rPr>
          <w:b/>
          <w:bCs/>
          <w:u w:val="single"/>
        </w:rPr>
        <w:t>W</w:t>
      </w:r>
      <w:r w:rsidRPr="005B6DA4">
        <w:rPr>
          <w:b/>
          <w:bCs/>
          <w:u w:val="single"/>
        </w:rPr>
        <w:t>ork services</w:t>
      </w:r>
    </w:p>
    <w:p w14:paraId="32646DF1" w14:textId="349630EE" w:rsidR="00B5278A" w:rsidRDefault="00871417">
      <w:r>
        <w:t xml:space="preserve">We have been helped to understand the </w:t>
      </w:r>
      <w:r w:rsidR="002B4684" w:rsidRPr="00443879">
        <w:t xml:space="preserve">position for </w:t>
      </w:r>
      <w:r w:rsidR="002B4684" w:rsidRPr="00871417">
        <w:rPr>
          <w:b/>
          <w:bCs/>
        </w:rPr>
        <w:t>Justice Social Work</w:t>
      </w:r>
      <w:r w:rsidR="002B4684" w:rsidRPr="00443879">
        <w:t xml:space="preserve"> </w:t>
      </w:r>
      <w:r>
        <w:t>by an email exchange with civil servants</w:t>
      </w:r>
      <w:r w:rsidR="00BC3199">
        <w:rPr>
          <w:rStyle w:val="FootnoteReference"/>
        </w:rPr>
        <w:footnoteReference w:id="9"/>
      </w:r>
      <w:r>
        <w:t xml:space="preserve">; at the time of writing, individual letters to each council about their Justice Social Work were on the point of being issued.  </w:t>
      </w:r>
      <w:r w:rsidR="00C64409">
        <w:t>The</w:t>
      </w:r>
      <w:r w:rsidR="00B14C02">
        <w:t xml:space="preserve"> JSW Grant remains at £86.45M but </w:t>
      </w:r>
      <w:r w:rsidR="00C64409">
        <w:t xml:space="preserve">we understand </w:t>
      </w:r>
      <w:r w:rsidR="00B14C02">
        <w:t xml:space="preserve">there is </w:t>
      </w:r>
      <w:r w:rsidR="00B14C02" w:rsidRPr="00BC3199">
        <w:t xml:space="preserve">additional funding of </w:t>
      </w:r>
      <w:r w:rsidR="00C64409">
        <w:t xml:space="preserve">over </w:t>
      </w:r>
      <w:r w:rsidR="00B14C02" w:rsidRPr="00BC3199">
        <w:t>£6M</w:t>
      </w:r>
      <w:r w:rsidR="00B14C02">
        <w:t xml:space="preserve"> within a total of £61.330M transfers from the Scottish Government’s Offender Services budgets</w:t>
      </w:r>
      <w:r w:rsidR="00C64409">
        <w:t>:</w:t>
      </w:r>
    </w:p>
    <w:p w14:paraId="14907284" w14:textId="77777777" w:rsidR="00661372" w:rsidRDefault="00661372"/>
    <w:tbl>
      <w:tblPr>
        <w:tblW w:w="6555" w:type="dxa"/>
        <w:tblLayout w:type="fixed"/>
        <w:tblLook w:val="04A0" w:firstRow="1" w:lastRow="0" w:firstColumn="1" w:lastColumn="0" w:noHBand="0" w:noVBand="1"/>
      </w:tblPr>
      <w:tblGrid>
        <w:gridCol w:w="2972"/>
        <w:gridCol w:w="1194"/>
        <w:gridCol w:w="1194"/>
        <w:gridCol w:w="1195"/>
      </w:tblGrid>
      <w:tr w:rsidR="00B14C02" w:rsidRPr="00B14C02" w14:paraId="26269F50" w14:textId="77777777" w:rsidTr="00B14C02">
        <w:trPr>
          <w:trHeight w:val="270"/>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087B4B8A" w14:textId="0F29B1CE" w:rsidR="00B14C02" w:rsidRPr="00B14C02" w:rsidRDefault="00B14C02" w:rsidP="00B14C02">
            <w:pPr>
              <w:rPr>
                <w:rFonts w:eastAsia="Times New Roman" w:cs="Arial"/>
                <w:b/>
                <w:bCs/>
                <w:color w:val="000000"/>
                <w:kern w:val="0"/>
                <w:lang w:eastAsia="en-GB"/>
                <w14:ligatures w14:val="none"/>
              </w:rPr>
            </w:pPr>
          </w:p>
        </w:tc>
        <w:tc>
          <w:tcPr>
            <w:tcW w:w="1194" w:type="dxa"/>
            <w:tcBorders>
              <w:top w:val="single" w:sz="4" w:space="0" w:color="auto"/>
              <w:left w:val="nil"/>
              <w:bottom w:val="single" w:sz="4" w:space="0" w:color="auto"/>
              <w:right w:val="single" w:sz="4" w:space="0" w:color="auto"/>
            </w:tcBorders>
            <w:noWrap/>
            <w:vAlign w:val="center"/>
            <w:hideMark/>
          </w:tcPr>
          <w:p w14:paraId="7D0D9AFC" w14:textId="77777777" w:rsidR="00B14C02" w:rsidRPr="00B14C02" w:rsidRDefault="00B14C02" w:rsidP="00B14C02">
            <w:pPr>
              <w:jc w:val="right"/>
              <w:rPr>
                <w:rFonts w:eastAsia="Times New Roman" w:cs="Arial"/>
                <w:b/>
                <w:bCs/>
                <w:color w:val="000000"/>
                <w:kern w:val="0"/>
                <w:lang w:eastAsia="en-GB"/>
                <w14:ligatures w14:val="none"/>
              </w:rPr>
            </w:pPr>
            <w:r w:rsidRPr="00B14C02">
              <w:rPr>
                <w:rFonts w:eastAsia="Times New Roman" w:cs="Arial"/>
                <w:b/>
                <w:bCs/>
                <w:color w:val="000000"/>
                <w:kern w:val="0"/>
                <w:lang w:eastAsia="en-GB"/>
                <w14:ligatures w14:val="none"/>
              </w:rPr>
              <w:t>2025-26</w:t>
            </w:r>
          </w:p>
        </w:tc>
        <w:tc>
          <w:tcPr>
            <w:tcW w:w="1194" w:type="dxa"/>
            <w:tcBorders>
              <w:top w:val="single" w:sz="4" w:space="0" w:color="auto"/>
              <w:left w:val="nil"/>
              <w:bottom w:val="single" w:sz="4" w:space="0" w:color="auto"/>
              <w:right w:val="single" w:sz="4" w:space="0" w:color="auto"/>
            </w:tcBorders>
            <w:noWrap/>
            <w:vAlign w:val="center"/>
            <w:hideMark/>
          </w:tcPr>
          <w:p w14:paraId="0DFFBC0C" w14:textId="77777777" w:rsidR="00B14C02" w:rsidRPr="00B14C02" w:rsidRDefault="00B14C02" w:rsidP="00B14C02">
            <w:pPr>
              <w:jc w:val="right"/>
              <w:rPr>
                <w:rFonts w:eastAsia="Times New Roman" w:cs="Arial"/>
                <w:b/>
                <w:bCs/>
                <w:color w:val="000000"/>
                <w:kern w:val="0"/>
                <w:lang w:eastAsia="en-GB"/>
                <w14:ligatures w14:val="none"/>
              </w:rPr>
            </w:pPr>
            <w:r w:rsidRPr="00B14C02">
              <w:rPr>
                <w:rFonts w:eastAsia="Times New Roman" w:cs="Arial"/>
                <w:b/>
                <w:bCs/>
                <w:color w:val="000000"/>
                <w:kern w:val="0"/>
                <w:lang w:eastAsia="en-GB"/>
                <w14:ligatures w14:val="none"/>
              </w:rPr>
              <w:t>2026-27</w:t>
            </w:r>
          </w:p>
        </w:tc>
        <w:tc>
          <w:tcPr>
            <w:tcW w:w="1195" w:type="dxa"/>
            <w:tcBorders>
              <w:top w:val="single" w:sz="4" w:space="0" w:color="auto"/>
              <w:left w:val="nil"/>
              <w:bottom w:val="single" w:sz="4" w:space="0" w:color="auto"/>
              <w:right w:val="single" w:sz="4" w:space="0" w:color="auto"/>
            </w:tcBorders>
            <w:noWrap/>
            <w:vAlign w:val="center"/>
            <w:hideMark/>
          </w:tcPr>
          <w:p w14:paraId="26DDCDA3" w14:textId="77777777" w:rsidR="00B14C02" w:rsidRPr="00B14C02" w:rsidRDefault="00B14C02" w:rsidP="00B14C02">
            <w:pPr>
              <w:jc w:val="right"/>
              <w:rPr>
                <w:rFonts w:eastAsia="Times New Roman" w:cs="Arial"/>
                <w:b/>
                <w:bCs/>
                <w:color w:val="000000"/>
                <w:kern w:val="0"/>
                <w:lang w:eastAsia="en-GB"/>
                <w14:ligatures w14:val="none"/>
              </w:rPr>
            </w:pPr>
            <w:r w:rsidRPr="00B14C02">
              <w:rPr>
                <w:rFonts w:eastAsia="Times New Roman" w:cs="Arial"/>
                <w:b/>
                <w:bCs/>
                <w:color w:val="000000"/>
                <w:kern w:val="0"/>
                <w:lang w:eastAsia="en-GB"/>
                <w14:ligatures w14:val="none"/>
              </w:rPr>
              <w:t>change</w:t>
            </w:r>
          </w:p>
        </w:tc>
      </w:tr>
      <w:tr w:rsidR="00B14C02" w:rsidRPr="00B14C02" w14:paraId="2539D3DA" w14:textId="77777777" w:rsidTr="00B14C02">
        <w:trPr>
          <w:trHeight w:val="270"/>
        </w:trPr>
        <w:tc>
          <w:tcPr>
            <w:tcW w:w="2972" w:type="dxa"/>
            <w:tcBorders>
              <w:top w:val="nil"/>
              <w:left w:val="single" w:sz="4" w:space="0" w:color="auto"/>
              <w:bottom w:val="single" w:sz="4" w:space="0" w:color="auto"/>
              <w:right w:val="single" w:sz="4" w:space="0" w:color="auto"/>
            </w:tcBorders>
            <w:noWrap/>
            <w:vAlign w:val="center"/>
            <w:hideMark/>
          </w:tcPr>
          <w:p w14:paraId="32BA8346" w14:textId="77777777" w:rsidR="00B14C02" w:rsidRPr="00B14C02" w:rsidRDefault="00B14C02" w:rsidP="00B14C02">
            <w:pPr>
              <w:rPr>
                <w:rFonts w:eastAsia="Times New Roman" w:cs="Arial"/>
                <w:color w:val="000000"/>
                <w:kern w:val="0"/>
                <w:lang w:eastAsia="en-GB"/>
                <w14:ligatures w14:val="none"/>
              </w:rPr>
            </w:pPr>
            <w:r w:rsidRPr="00B14C02">
              <w:rPr>
                <w:rFonts w:eastAsia="Times New Roman" w:cs="Arial"/>
                <w:color w:val="000000"/>
                <w:kern w:val="0"/>
                <w:lang w:eastAsia="en-GB"/>
                <w14:ligatures w14:val="none"/>
              </w:rPr>
              <w:t>JSW Grant</w:t>
            </w:r>
          </w:p>
        </w:tc>
        <w:tc>
          <w:tcPr>
            <w:tcW w:w="1194" w:type="dxa"/>
            <w:tcBorders>
              <w:top w:val="nil"/>
              <w:left w:val="nil"/>
              <w:bottom w:val="single" w:sz="4" w:space="0" w:color="auto"/>
              <w:right w:val="single" w:sz="4" w:space="0" w:color="auto"/>
            </w:tcBorders>
            <w:noWrap/>
            <w:vAlign w:val="center"/>
            <w:hideMark/>
          </w:tcPr>
          <w:p w14:paraId="384AEBA6" w14:textId="77777777" w:rsidR="00B14C02" w:rsidRPr="00B14C02" w:rsidRDefault="00B14C02" w:rsidP="00B14C02">
            <w:pPr>
              <w:jc w:val="right"/>
              <w:rPr>
                <w:rFonts w:eastAsia="Times New Roman" w:cs="Arial"/>
                <w:color w:val="000000"/>
                <w:kern w:val="0"/>
                <w:lang w:eastAsia="en-GB"/>
                <w14:ligatures w14:val="none"/>
              </w:rPr>
            </w:pPr>
            <w:r w:rsidRPr="00B14C02">
              <w:rPr>
                <w:rFonts w:eastAsia="Times New Roman" w:cs="Arial"/>
                <w:color w:val="000000"/>
                <w:kern w:val="0"/>
                <w:lang w:eastAsia="en-GB"/>
                <w14:ligatures w14:val="none"/>
              </w:rPr>
              <w:t>£86.450</w:t>
            </w:r>
          </w:p>
        </w:tc>
        <w:tc>
          <w:tcPr>
            <w:tcW w:w="1194" w:type="dxa"/>
            <w:tcBorders>
              <w:top w:val="nil"/>
              <w:left w:val="nil"/>
              <w:bottom w:val="single" w:sz="4" w:space="0" w:color="auto"/>
              <w:right w:val="single" w:sz="4" w:space="0" w:color="auto"/>
            </w:tcBorders>
            <w:noWrap/>
            <w:vAlign w:val="center"/>
            <w:hideMark/>
          </w:tcPr>
          <w:p w14:paraId="2D3F0344" w14:textId="77777777" w:rsidR="00B14C02" w:rsidRPr="00B14C02" w:rsidRDefault="00B14C02" w:rsidP="00B14C02">
            <w:pPr>
              <w:jc w:val="right"/>
              <w:rPr>
                <w:rFonts w:eastAsia="Times New Roman" w:cs="Arial"/>
                <w:color w:val="000000"/>
                <w:kern w:val="0"/>
                <w:lang w:eastAsia="en-GB"/>
                <w14:ligatures w14:val="none"/>
              </w:rPr>
            </w:pPr>
            <w:r w:rsidRPr="00B14C02">
              <w:rPr>
                <w:rFonts w:eastAsia="Times New Roman" w:cs="Arial"/>
                <w:color w:val="000000"/>
                <w:kern w:val="0"/>
                <w:lang w:eastAsia="en-GB"/>
                <w14:ligatures w14:val="none"/>
              </w:rPr>
              <w:t>£86.450</w:t>
            </w:r>
          </w:p>
        </w:tc>
        <w:tc>
          <w:tcPr>
            <w:tcW w:w="1195" w:type="dxa"/>
            <w:tcBorders>
              <w:top w:val="nil"/>
              <w:left w:val="nil"/>
              <w:bottom w:val="single" w:sz="4" w:space="0" w:color="auto"/>
              <w:right w:val="single" w:sz="4" w:space="0" w:color="auto"/>
            </w:tcBorders>
            <w:noWrap/>
            <w:vAlign w:val="center"/>
            <w:hideMark/>
          </w:tcPr>
          <w:p w14:paraId="656D17E0" w14:textId="77777777" w:rsidR="00B14C02" w:rsidRPr="00B14C02" w:rsidRDefault="00B14C02" w:rsidP="00B14C02">
            <w:pPr>
              <w:jc w:val="right"/>
              <w:rPr>
                <w:rFonts w:eastAsia="Times New Roman" w:cs="Arial"/>
                <w:color w:val="000000"/>
                <w:kern w:val="0"/>
                <w:lang w:eastAsia="en-GB"/>
                <w14:ligatures w14:val="none"/>
              </w:rPr>
            </w:pPr>
            <w:r w:rsidRPr="00B14C02">
              <w:rPr>
                <w:rFonts w:eastAsia="Times New Roman" w:cs="Arial"/>
                <w:color w:val="000000"/>
                <w:kern w:val="0"/>
                <w:lang w:eastAsia="en-GB"/>
                <w14:ligatures w14:val="none"/>
              </w:rPr>
              <w:t>£0.000</w:t>
            </w:r>
          </w:p>
        </w:tc>
      </w:tr>
      <w:tr w:rsidR="00B14C02" w:rsidRPr="00B14C02" w14:paraId="6A7E6AF8" w14:textId="77777777" w:rsidTr="00B14C02">
        <w:trPr>
          <w:trHeight w:val="270"/>
        </w:trPr>
        <w:tc>
          <w:tcPr>
            <w:tcW w:w="2972" w:type="dxa"/>
            <w:tcBorders>
              <w:top w:val="nil"/>
              <w:left w:val="single" w:sz="4" w:space="0" w:color="auto"/>
              <w:bottom w:val="single" w:sz="4" w:space="0" w:color="auto"/>
              <w:right w:val="single" w:sz="4" w:space="0" w:color="auto"/>
            </w:tcBorders>
            <w:noWrap/>
            <w:vAlign w:val="center"/>
            <w:hideMark/>
          </w:tcPr>
          <w:p w14:paraId="3681261E" w14:textId="6BB5C979" w:rsidR="00B14C02" w:rsidRPr="00B14C02" w:rsidRDefault="00B14C02" w:rsidP="00B14C02">
            <w:pPr>
              <w:rPr>
                <w:rFonts w:eastAsia="Times New Roman" w:cs="Arial"/>
                <w:color w:val="000000"/>
                <w:kern w:val="0"/>
                <w:lang w:eastAsia="en-GB"/>
                <w14:ligatures w14:val="none"/>
              </w:rPr>
            </w:pPr>
            <w:r w:rsidRPr="00B14C02">
              <w:rPr>
                <w:rFonts w:eastAsia="Times New Roman" w:cs="Arial"/>
                <w:color w:val="000000"/>
                <w:kern w:val="0"/>
                <w:lang w:eastAsia="en-GB"/>
                <w14:ligatures w14:val="none"/>
              </w:rPr>
              <w:t>JSW top up</w:t>
            </w:r>
            <w:r w:rsidR="005B6DA4">
              <w:rPr>
                <w:rStyle w:val="FootnoteReference"/>
                <w:rFonts w:eastAsia="Times New Roman" w:cs="Arial"/>
                <w:color w:val="000000"/>
                <w:kern w:val="0"/>
                <w:lang w:eastAsia="en-GB"/>
                <w14:ligatures w14:val="none"/>
              </w:rPr>
              <w:footnoteReference w:id="10"/>
            </w:r>
            <w:r w:rsidRPr="00B14C02">
              <w:rPr>
                <w:rFonts w:eastAsia="Times New Roman" w:cs="Arial"/>
                <w:color w:val="000000"/>
                <w:kern w:val="0"/>
                <w:lang w:eastAsia="en-GB"/>
                <w14:ligatures w14:val="none"/>
              </w:rPr>
              <w:t xml:space="preserve"> &amp; other SG Offender </w:t>
            </w:r>
            <w:r>
              <w:rPr>
                <w:rFonts w:eastAsia="Times New Roman" w:cs="Arial"/>
                <w:color w:val="000000"/>
                <w:kern w:val="0"/>
                <w:lang w:eastAsia="en-GB"/>
                <w14:ligatures w14:val="none"/>
              </w:rPr>
              <w:t>S</w:t>
            </w:r>
            <w:r w:rsidRPr="00B14C02">
              <w:rPr>
                <w:rFonts w:eastAsia="Times New Roman" w:cs="Arial"/>
                <w:color w:val="000000"/>
                <w:kern w:val="0"/>
                <w:lang w:eastAsia="en-GB"/>
                <w14:ligatures w14:val="none"/>
              </w:rPr>
              <w:t>ervices transfers</w:t>
            </w:r>
          </w:p>
        </w:tc>
        <w:tc>
          <w:tcPr>
            <w:tcW w:w="1194" w:type="dxa"/>
            <w:tcBorders>
              <w:top w:val="nil"/>
              <w:left w:val="nil"/>
              <w:bottom w:val="single" w:sz="4" w:space="0" w:color="auto"/>
              <w:right w:val="single" w:sz="4" w:space="0" w:color="auto"/>
            </w:tcBorders>
            <w:noWrap/>
            <w:vAlign w:val="center"/>
            <w:hideMark/>
          </w:tcPr>
          <w:p w14:paraId="13A01129" w14:textId="77777777" w:rsidR="00B14C02" w:rsidRPr="00B14C02" w:rsidRDefault="00B14C02" w:rsidP="00B14C02">
            <w:pPr>
              <w:jc w:val="right"/>
              <w:rPr>
                <w:rFonts w:eastAsia="Times New Roman" w:cs="Arial"/>
                <w:color w:val="000000"/>
                <w:kern w:val="0"/>
                <w:lang w:eastAsia="en-GB"/>
                <w14:ligatures w14:val="none"/>
              </w:rPr>
            </w:pPr>
            <w:r w:rsidRPr="00B14C02">
              <w:rPr>
                <w:rFonts w:eastAsia="Times New Roman" w:cs="Arial"/>
                <w:color w:val="000000"/>
                <w:kern w:val="0"/>
                <w:lang w:eastAsia="en-GB"/>
                <w14:ligatures w14:val="none"/>
              </w:rPr>
              <w:t>£54.900</w:t>
            </w:r>
          </w:p>
        </w:tc>
        <w:tc>
          <w:tcPr>
            <w:tcW w:w="1194" w:type="dxa"/>
            <w:tcBorders>
              <w:top w:val="nil"/>
              <w:left w:val="nil"/>
              <w:bottom w:val="single" w:sz="4" w:space="0" w:color="auto"/>
              <w:right w:val="single" w:sz="4" w:space="0" w:color="auto"/>
            </w:tcBorders>
            <w:noWrap/>
            <w:vAlign w:val="center"/>
            <w:hideMark/>
          </w:tcPr>
          <w:p w14:paraId="7EBF1793" w14:textId="77777777" w:rsidR="00B14C02" w:rsidRPr="00B14C02" w:rsidRDefault="00B14C02" w:rsidP="00B14C02">
            <w:pPr>
              <w:jc w:val="right"/>
              <w:rPr>
                <w:rFonts w:eastAsia="Times New Roman" w:cs="Arial"/>
                <w:color w:val="000000"/>
                <w:kern w:val="0"/>
                <w:lang w:eastAsia="en-GB"/>
                <w14:ligatures w14:val="none"/>
              </w:rPr>
            </w:pPr>
            <w:r w:rsidRPr="00B14C02">
              <w:rPr>
                <w:rFonts w:eastAsia="Times New Roman" w:cs="Arial"/>
                <w:color w:val="000000"/>
                <w:kern w:val="0"/>
                <w:lang w:eastAsia="en-GB"/>
                <w14:ligatures w14:val="none"/>
              </w:rPr>
              <w:t>£61.331</w:t>
            </w:r>
          </w:p>
        </w:tc>
        <w:tc>
          <w:tcPr>
            <w:tcW w:w="1195" w:type="dxa"/>
            <w:tcBorders>
              <w:top w:val="nil"/>
              <w:left w:val="nil"/>
              <w:bottom w:val="single" w:sz="4" w:space="0" w:color="auto"/>
              <w:right w:val="single" w:sz="4" w:space="0" w:color="auto"/>
            </w:tcBorders>
            <w:noWrap/>
            <w:vAlign w:val="center"/>
            <w:hideMark/>
          </w:tcPr>
          <w:p w14:paraId="03F85FC3" w14:textId="77777777" w:rsidR="00B14C02" w:rsidRPr="00B14C02" w:rsidRDefault="00B14C02" w:rsidP="00B14C02">
            <w:pPr>
              <w:jc w:val="right"/>
              <w:rPr>
                <w:rFonts w:eastAsia="Times New Roman" w:cs="Arial"/>
                <w:color w:val="000000"/>
                <w:kern w:val="0"/>
                <w:lang w:eastAsia="en-GB"/>
                <w14:ligatures w14:val="none"/>
              </w:rPr>
            </w:pPr>
            <w:r w:rsidRPr="00B14C02">
              <w:rPr>
                <w:rFonts w:eastAsia="Times New Roman" w:cs="Arial"/>
                <w:color w:val="000000"/>
                <w:kern w:val="0"/>
                <w:lang w:eastAsia="en-GB"/>
                <w14:ligatures w14:val="none"/>
              </w:rPr>
              <w:t>£6.431</w:t>
            </w:r>
          </w:p>
        </w:tc>
      </w:tr>
      <w:tr w:rsidR="00B14C02" w:rsidRPr="00B14C02" w14:paraId="2D8F5DAF" w14:textId="77777777" w:rsidTr="00B14C02">
        <w:trPr>
          <w:trHeight w:val="270"/>
        </w:trPr>
        <w:tc>
          <w:tcPr>
            <w:tcW w:w="2972" w:type="dxa"/>
            <w:tcBorders>
              <w:top w:val="single" w:sz="4" w:space="0" w:color="auto"/>
              <w:left w:val="single" w:sz="4" w:space="0" w:color="auto"/>
              <w:bottom w:val="single" w:sz="4" w:space="0" w:color="auto"/>
              <w:right w:val="single" w:sz="4" w:space="0" w:color="auto"/>
            </w:tcBorders>
            <w:noWrap/>
            <w:vAlign w:val="center"/>
          </w:tcPr>
          <w:p w14:paraId="291AFE7A" w14:textId="7F6EDA0E" w:rsidR="00B14C02" w:rsidRPr="00B14C02" w:rsidRDefault="00B14C02" w:rsidP="00B14C02">
            <w:pPr>
              <w:jc w:val="right"/>
              <w:rPr>
                <w:rFonts w:eastAsia="Times New Roman" w:cs="Arial"/>
                <w:b/>
                <w:bCs/>
                <w:color w:val="000000"/>
                <w:kern w:val="0"/>
                <w:lang w:eastAsia="en-GB"/>
                <w14:ligatures w14:val="none"/>
              </w:rPr>
            </w:pPr>
            <w:r w:rsidRPr="00B14C02">
              <w:rPr>
                <w:rFonts w:eastAsia="Times New Roman" w:cs="Arial"/>
                <w:b/>
                <w:bCs/>
                <w:color w:val="000000"/>
                <w:kern w:val="0"/>
                <w:lang w:eastAsia="en-GB"/>
                <w14:ligatures w14:val="none"/>
              </w:rPr>
              <w:t>Totals</w:t>
            </w:r>
          </w:p>
        </w:tc>
        <w:tc>
          <w:tcPr>
            <w:tcW w:w="1194" w:type="dxa"/>
            <w:tcBorders>
              <w:top w:val="single" w:sz="4" w:space="0" w:color="auto"/>
              <w:left w:val="nil"/>
              <w:bottom w:val="single" w:sz="4" w:space="0" w:color="auto"/>
              <w:right w:val="single" w:sz="4" w:space="0" w:color="auto"/>
            </w:tcBorders>
            <w:noWrap/>
            <w:vAlign w:val="center"/>
          </w:tcPr>
          <w:p w14:paraId="0BA14822" w14:textId="5ACD13A3" w:rsidR="00B14C02" w:rsidRPr="00B14C02" w:rsidRDefault="00B14C02" w:rsidP="00B14C02">
            <w:pPr>
              <w:jc w:val="right"/>
              <w:rPr>
                <w:rFonts w:eastAsia="Times New Roman" w:cs="Arial"/>
                <w:b/>
                <w:bCs/>
                <w:color w:val="000000"/>
                <w:kern w:val="0"/>
                <w:lang w:eastAsia="en-GB"/>
                <w14:ligatures w14:val="none"/>
              </w:rPr>
            </w:pPr>
            <w:r w:rsidRPr="00B14C02">
              <w:rPr>
                <w:rFonts w:eastAsia="Times New Roman" w:cs="Arial"/>
                <w:b/>
                <w:bCs/>
                <w:color w:val="000000"/>
                <w:kern w:val="0"/>
                <w:lang w:eastAsia="en-GB"/>
                <w14:ligatures w14:val="none"/>
              </w:rPr>
              <w:t>£141.350</w:t>
            </w:r>
          </w:p>
        </w:tc>
        <w:tc>
          <w:tcPr>
            <w:tcW w:w="1194" w:type="dxa"/>
            <w:tcBorders>
              <w:top w:val="single" w:sz="4" w:space="0" w:color="auto"/>
              <w:left w:val="nil"/>
              <w:bottom w:val="single" w:sz="4" w:space="0" w:color="auto"/>
              <w:right w:val="single" w:sz="4" w:space="0" w:color="auto"/>
            </w:tcBorders>
            <w:noWrap/>
            <w:vAlign w:val="center"/>
          </w:tcPr>
          <w:p w14:paraId="4558E5DA" w14:textId="50195E19" w:rsidR="00B14C02" w:rsidRPr="00B14C02" w:rsidRDefault="00B14C02" w:rsidP="00B14C02">
            <w:pPr>
              <w:jc w:val="right"/>
              <w:rPr>
                <w:rFonts w:eastAsia="Times New Roman" w:cs="Arial"/>
                <w:b/>
                <w:bCs/>
                <w:color w:val="000000"/>
                <w:kern w:val="0"/>
                <w:lang w:eastAsia="en-GB"/>
                <w14:ligatures w14:val="none"/>
              </w:rPr>
            </w:pPr>
            <w:r w:rsidRPr="00B14C02">
              <w:rPr>
                <w:rFonts w:eastAsia="Times New Roman" w:cs="Arial"/>
                <w:b/>
                <w:bCs/>
                <w:color w:val="000000"/>
                <w:kern w:val="0"/>
                <w:lang w:eastAsia="en-GB"/>
                <w14:ligatures w14:val="none"/>
              </w:rPr>
              <w:t>£147.781</w:t>
            </w:r>
          </w:p>
        </w:tc>
        <w:tc>
          <w:tcPr>
            <w:tcW w:w="1195" w:type="dxa"/>
            <w:tcBorders>
              <w:top w:val="single" w:sz="4" w:space="0" w:color="auto"/>
              <w:left w:val="nil"/>
              <w:bottom w:val="single" w:sz="4" w:space="0" w:color="auto"/>
              <w:right w:val="single" w:sz="4" w:space="0" w:color="auto"/>
            </w:tcBorders>
            <w:noWrap/>
            <w:vAlign w:val="center"/>
          </w:tcPr>
          <w:p w14:paraId="7E76C5CE" w14:textId="36764292" w:rsidR="00B14C02" w:rsidRPr="00B14C02" w:rsidRDefault="00B14C02" w:rsidP="00B14C02">
            <w:pPr>
              <w:jc w:val="right"/>
              <w:rPr>
                <w:rFonts w:eastAsia="Times New Roman" w:cs="Arial"/>
                <w:b/>
                <w:bCs/>
                <w:color w:val="000000"/>
                <w:kern w:val="0"/>
                <w:lang w:eastAsia="en-GB"/>
                <w14:ligatures w14:val="none"/>
              </w:rPr>
            </w:pPr>
            <w:r w:rsidRPr="00B14C02">
              <w:rPr>
                <w:rFonts w:eastAsia="Times New Roman" w:cs="Arial"/>
                <w:b/>
                <w:bCs/>
                <w:color w:val="000000"/>
                <w:kern w:val="0"/>
                <w:lang w:eastAsia="en-GB"/>
                <w14:ligatures w14:val="none"/>
              </w:rPr>
              <w:t>£6.431</w:t>
            </w:r>
          </w:p>
        </w:tc>
      </w:tr>
    </w:tbl>
    <w:p w14:paraId="53FD917B" w14:textId="556573D8" w:rsidR="00871417" w:rsidRPr="00BC3199" w:rsidRDefault="00160C9E" w:rsidP="00B14C02">
      <w:pPr>
        <w:rPr>
          <w:rFonts w:eastAsia="Times New Roman" w:cs="Arial"/>
          <w:color w:val="000000"/>
          <w:kern w:val="0"/>
          <w:sz w:val="20"/>
          <w:szCs w:val="20"/>
          <w:lang w:eastAsia="en-GB"/>
          <w14:ligatures w14:val="none"/>
        </w:rPr>
      </w:pPr>
      <w:r w:rsidRPr="00BC3199">
        <w:rPr>
          <w:rFonts w:eastAsia="Times New Roman" w:cs="Arial"/>
          <w:color w:val="000000"/>
          <w:kern w:val="0"/>
          <w:sz w:val="20"/>
          <w:szCs w:val="20"/>
          <w:lang w:eastAsia="en-GB"/>
          <w14:ligatures w14:val="none"/>
        </w:rPr>
        <w:t xml:space="preserve">Note: 2025-26 figures are from the Scottish Budget; those 2025-26 </w:t>
      </w:r>
      <w:r w:rsidR="00BC3199" w:rsidRPr="00BC3199">
        <w:rPr>
          <w:rFonts w:eastAsia="Times New Roman" w:cs="Arial"/>
          <w:color w:val="000000"/>
          <w:kern w:val="0"/>
          <w:sz w:val="20"/>
          <w:szCs w:val="20"/>
          <w:lang w:eastAsia="en-GB"/>
          <w14:ligatures w14:val="none"/>
        </w:rPr>
        <w:t xml:space="preserve">are from the LG Finance settlement Circular (JSW Grant) with the Transfers for SG </w:t>
      </w:r>
      <w:r w:rsidR="00BC3199" w:rsidRPr="00B14C02">
        <w:rPr>
          <w:rFonts w:eastAsia="Times New Roman" w:cs="Arial"/>
          <w:color w:val="000000"/>
          <w:kern w:val="0"/>
          <w:sz w:val="20"/>
          <w:szCs w:val="20"/>
          <w:lang w:eastAsia="en-GB"/>
          <w14:ligatures w14:val="none"/>
        </w:rPr>
        <w:t xml:space="preserve">Offender </w:t>
      </w:r>
      <w:r w:rsidR="00BC3199" w:rsidRPr="00BC3199">
        <w:rPr>
          <w:rFonts w:eastAsia="Times New Roman" w:cs="Arial"/>
          <w:color w:val="000000"/>
          <w:kern w:val="0"/>
          <w:sz w:val="20"/>
          <w:szCs w:val="20"/>
          <w:lang w:eastAsia="en-GB"/>
          <w14:ligatures w14:val="none"/>
        </w:rPr>
        <w:t>S</w:t>
      </w:r>
      <w:r w:rsidR="00BC3199" w:rsidRPr="00B14C02">
        <w:rPr>
          <w:rFonts w:eastAsia="Times New Roman" w:cs="Arial"/>
          <w:color w:val="000000"/>
          <w:kern w:val="0"/>
          <w:sz w:val="20"/>
          <w:szCs w:val="20"/>
          <w:lang w:eastAsia="en-GB"/>
          <w14:ligatures w14:val="none"/>
        </w:rPr>
        <w:t>ervices</w:t>
      </w:r>
      <w:r w:rsidR="00BC3199" w:rsidRPr="00BC3199">
        <w:rPr>
          <w:rFonts w:eastAsia="Times New Roman" w:cs="Arial"/>
          <w:color w:val="000000"/>
          <w:kern w:val="0"/>
          <w:sz w:val="20"/>
          <w:szCs w:val="20"/>
          <w:lang w:eastAsia="en-GB"/>
          <w14:ligatures w14:val="none"/>
        </w:rPr>
        <w:t xml:space="preserve"> kindly added by SG civil servants</w:t>
      </w:r>
    </w:p>
    <w:p w14:paraId="3309EED1" w14:textId="77777777" w:rsidR="00160C9E" w:rsidRDefault="00160C9E" w:rsidP="00B14C02">
      <w:pPr>
        <w:rPr>
          <w:rFonts w:eastAsia="Times New Roman" w:cs="Arial"/>
          <w:color w:val="000000"/>
          <w:kern w:val="0"/>
          <w:lang w:eastAsia="en-GB"/>
          <w14:ligatures w14:val="none"/>
        </w:rPr>
      </w:pPr>
    </w:p>
    <w:p w14:paraId="46A5B942" w14:textId="3BCB4B6E" w:rsidR="00160C9E" w:rsidRPr="00160C9E" w:rsidRDefault="007B26BB" w:rsidP="00160C9E">
      <w:pPr>
        <w:rPr>
          <w:rFonts w:cs="Arial"/>
          <w:bCs/>
        </w:rPr>
      </w:pPr>
      <w:r w:rsidRPr="00160C9E">
        <w:rPr>
          <w:rFonts w:cs="Arial"/>
          <w:bCs/>
        </w:rPr>
        <w:t xml:space="preserve">However, of the £61.331M being transferred to </w:t>
      </w:r>
      <w:r w:rsidR="00160C9E" w:rsidRPr="00160C9E">
        <w:rPr>
          <w:rFonts w:cs="Arial"/>
          <w:bCs/>
        </w:rPr>
        <w:t>counci</w:t>
      </w:r>
      <w:r w:rsidR="00160C9E">
        <w:rPr>
          <w:rFonts w:cs="Arial"/>
          <w:bCs/>
        </w:rPr>
        <w:t>l</w:t>
      </w:r>
      <w:r w:rsidR="00160C9E" w:rsidRPr="00160C9E">
        <w:rPr>
          <w:rFonts w:cs="Arial"/>
          <w:bCs/>
        </w:rPr>
        <w:t>s</w:t>
      </w:r>
      <w:r w:rsidR="00160C9E">
        <w:rPr>
          <w:rStyle w:val="FootnoteReference"/>
        </w:rPr>
        <w:footnoteReference w:id="11"/>
      </w:r>
      <w:r w:rsidR="00160C9E">
        <w:rPr>
          <w:rFonts w:cs="Arial"/>
          <w:bCs/>
        </w:rPr>
        <w:t xml:space="preserve"> in 2026-27</w:t>
      </w:r>
      <w:r w:rsidRPr="00160C9E">
        <w:rPr>
          <w:rFonts w:cs="Arial"/>
          <w:bCs/>
        </w:rPr>
        <w:t xml:space="preserve">, £51,756M is being distributed </w:t>
      </w:r>
      <w:r w:rsidR="00160C9E" w:rsidRPr="00160C9E">
        <w:rPr>
          <w:rFonts w:cs="Arial"/>
          <w:bCs/>
        </w:rPr>
        <w:t>via the Section 27 funding formula used for the core JSW Grant (£86.450M).  We do not have the distribution for the remaining £9.545M</w:t>
      </w:r>
      <w:r w:rsidR="00160C9E">
        <w:rPr>
          <w:rFonts w:cs="Arial"/>
          <w:bCs/>
        </w:rPr>
        <w:t xml:space="preserve">, much of which is ring fenced and some targeted to particular councils. Within the total transferred funding, the </w:t>
      </w:r>
      <w:r w:rsidR="00160C9E" w:rsidRPr="00160C9E">
        <w:rPr>
          <w:rFonts w:cs="Arial"/>
          <w:bCs/>
        </w:rPr>
        <w:t>£1.329M effectively added to the core grant</w:t>
      </w:r>
      <w:r w:rsidR="00BC3199">
        <w:rPr>
          <w:rFonts w:cs="Arial"/>
          <w:bCs/>
        </w:rPr>
        <w:t>,</w:t>
      </w:r>
      <w:r w:rsidR="00160C9E" w:rsidRPr="00160C9E">
        <w:rPr>
          <w:rFonts w:cs="Arial"/>
          <w:bCs/>
        </w:rPr>
        <w:t xml:space="preserve"> and “new investment” of £5M</w:t>
      </w:r>
      <w:r w:rsidR="00BC3199">
        <w:rPr>
          <w:rFonts w:cs="Arial"/>
          <w:bCs/>
        </w:rPr>
        <w:t>,</w:t>
      </w:r>
      <w:r w:rsidR="00160C9E" w:rsidRPr="00160C9E">
        <w:rPr>
          <w:rFonts w:cs="Arial"/>
          <w:bCs/>
        </w:rPr>
        <w:t xml:space="preserve"> seem to be the main </w:t>
      </w:r>
      <w:r w:rsidR="00160C9E" w:rsidRPr="007B567A">
        <w:rPr>
          <w:rFonts w:cs="Arial"/>
          <w:bCs/>
          <w:i/>
          <w:iCs/>
        </w:rPr>
        <w:t>additional</w:t>
      </w:r>
      <w:r w:rsidR="00160C9E" w:rsidRPr="00160C9E">
        <w:rPr>
          <w:rFonts w:cs="Arial"/>
          <w:bCs/>
        </w:rPr>
        <w:t xml:space="preserve"> funding compared to last years: that comes to </w:t>
      </w:r>
      <w:r w:rsidR="00160C9E" w:rsidRPr="00160C9E">
        <w:rPr>
          <w:rFonts w:cs="Arial"/>
          <w:b/>
        </w:rPr>
        <w:t>£6.329M</w:t>
      </w:r>
      <w:r w:rsidR="007B567A">
        <w:rPr>
          <w:rFonts w:cs="Arial"/>
          <w:b/>
        </w:rPr>
        <w:t xml:space="preserve"> </w:t>
      </w:r>
      <w:r w:rsidR="007B567A" w:rsidRPr="007B567A">
        <w:rPr>
          <w:rFonts w:cs="Arial"/>
          <w:bCs/>
        </w:rPr>
        <w:t>(</w:t>
      </w:r>
      <w:r w:rsidR="00160C9E" w:rsidRPr="00160C9E">
        <w:rPr>
          <w:rFonts w:cs="Arial"/>
          <w:bCs/>
        </w:rPr>
        <w:t xml:space="preserve">quite close </w:t>
      </w:r>
      <w:r w:rsidR="00160C9E">
        <w:rPr>
          <w:rFonts w:cs="Arial"/>
          <w:bCs/>
        </w:rPr>
        <w:t xml:space="preserve">to </w:t>
      </w:r>
      <w:r w:rsidR="00160C9E" w:rsidRPr="00160C9E">
        <w:rPr>
          <w:rFonts w:cs="Arial"/>
          <w:bCs/>
        </w:rPr>
        <w:t>the implied change in the table above</w:t>
      </w:r>
      <w:r w:rsidR="007B567A">
        <w:rPr>
          <w:rFonts w:cs="Arial"/>
          <w:bCs/>
        </w:rPr>
        <w:t>)</w:t>
      </w:r>
      <w:r w:rsidR="00160C9E" w:rsidRPr="00160C9E">
        <w:rPr>
          <w:rFonts w:cs="Arial"/>
          <w:bCs/>
        </w:rPr>
        <w:t xml:space="preserve">, </w:t>
      </w:r>
      <w:r w:rsidR="007B567A">
        <w:rPr>
          <w:rFonts w:cs="Arial"/>
          <w:bCs/>
        </w:rPr>
        <w:t>and</w:t>
      </w:r>
      <w:r w:rsidR="00160C9E" w:rsidRPr="00160C9E">
        <w:rPr>
          <w:rFonts w:cs="Arial"/>
          <w:bCs/>
        </w:rPr>
        <w:t xml:space="preserve"> that is the figure we have used in </w:t>
      </w:r>
      <w:r w:rsidR="00160C9E" w:rsidRPr="007B567A">
        <w:rPr>
          <w:rFonts w:cs="Arial"/>
          <w:b/>
        </w:rPr>
        <w:t>Annex A</w:t>
      </w:r>
      <w:r w:rsidR="00160C9E" w:rsidRPr="00160C9E">
        <w:rPr>
          <w:rFonts w:cs="Arial"/>
          <w:bCs/>
        </w:rPr>
        <w:t xml:space="preserve"> to show the distributions to council</w:t>
      </w:r>
      <w:r w:rsidR="00160C9E">
        <w:rPr>
          <w:rFonts w:cs="Arial"/>
          <w:bCs/>
        </w:rPr>
        <w:t>s.</w:t>
      </w:r>
    </w:p>
    <w:p w14:paraId="52C645FF" w14:textId="77777777" w:rsidR="009676F1" w:rsidRDefault="009676F1" w:rsidP="00B14C02">
      <w:pPr>
        <w:rPr>
          <w:rFonts w:eastAsia="Times New Roman" w:cs="Arial"/>
          <w:color w:val="000000"/>
          <w:kern w:val="0"/>
          <w:lang w:eastAsia="en-GB"/>
          <w14:ligatures w14:val="none"/>
        </w:rPr>
      </w:pPr>
    </w:p>
    <w:p w14:paraId="6DD2098F" w14:textId="77777777" w:rsidR="007B567A" w:rsidRDefault="007B567A" w:rsidP="00B14C02">
      <w:pPr>
        <w:rPr>
          <w:rFonts w:eastAsia="Times New Roman" w:cs="Arial"/>
          <w:color w:val="000000"/>
          <w:kern w:val="0"/>
          <w:lang w:eastAsia="en-GB"/>
          <w14:ligatures w14:val="none"/>
        </w:rPr>
      </w:pPr>
    </w:p>
    <w:p w14:paraId="1517A9AD" w14:textId="77777777" w:rsidR="007B567A" w:rsidRPr="00B14C02" w:rsidRDefault="007B567A" w:rsidP="00B14C02">
      <w:pPr>
        <w:rPr>
          <w:rFonts w:eastAsia="Times New Roman" w:cs="Arial"/>
          <w:color w:val="000000"/>
          <w:kern w:val="0"/>
          <w:lang w:eastAsia="en-GB"/>
          <w14:ligatures w14:val="none"/>
        </w:rPr>
      </w:pPr>
    </w:p>
    <w:p w14:paraId="3418F25C" w14:textId="21717F9B" w:rsidR="002B4684" w:rsidRPr="00E234B5" w:rsidRDefault="00007790" w:rsidP="00007790">
      <w:pPr>
        <w:pStyle w:val="ListParagraph"/>
        <w:numPr>
          <w:ilvl w:val="0"/>
          <w:numId w:val="22"/>
        </w:numPr>
        <w:rPr>
          <w:b/>
          <w:bCs/>
          <w:u w:val="single"/>
        </w:rPr>
      </w:pPr>
      <w:r w:rsidRPr="00E234B5">
        <w:rPr>
          <w:b/>
          <w:bCs/>
          <w:u w:val="single"/>
        </w:rPr>
        <w:lastRenderedPageBreak/>
        <w:t>Brief conclusions</w:t>
      </w:r>
    </w:p>
    <w:p w14:paraId="52C9094E" w14:textId="3BF442EB" w:rsidR="00396D49" w:rsidRDefault="00396D49" w:rsidP="00FF75E3">
      <w:r w:rsidRPr="00396D49">
        <w:t>We agree with C</w:t>
      </w:r>
      <w:r w:rsidR="00FF75E3" w:rsidRPr="00396D49">
        <w:t>OSLA</w:t>
      </w:r>
      <w:r w:rsidRPr="00396D49">
        <w:t xml:space="preserve"> </w:t>
      </w:r>
      <w:r w:rsidR="00FF75E3" w:rsidRPr="00396D49">
        <w:t xml:space="preserve">that </w:t>
      </w:r>
      <w:r w:rsidRPr="00396D49">
        <w:t>“</w:t>
      </w:r>
      <w:r w:rsidR="00FF75E3" w:rsidRPr="00396D49">
        <w:t>this year’s settlement is a very poor settlement for local government which fails to address the dire financial situation of local government</w:t>
      </w:r>
      <w:r w:rsidRPr="00396D49">
        <w:t xml:space="preserve"> </w:t>
      </w:r>
      <w:r>
        <w:t>[and]</w:t>
      </w:r>
      <w:r w:rsidR="00FF75E3" w:rsidRPr="00396D49">
        <w:t xml:space="preserve"> does not offer the urgent financial support required for social care and social work</w:t>
      </w:r>
      <w:r w:rsidR="00FF75E3" w:rsidRPr="00396D49">
        <w:rPr>
          <w:rStyle w:val="FootnoteReference"/>
        </w:rPr>
        <w:footnoteReference w:id="12"/>
      </w:r>
      <w:r w:rsidR="00FF75E3" w:rsidRPr="00396D49">
        <w:t>.</w:t>
      </w:r>
      <w:r>
        <w:t xml:space="preserve"> </w:t>
      </w:r>
    </w:p>
    <w:p w14:paraId="295DEB71" w14:textId="77777777" w:rsidR="007B567A" w:rsidRDefault="007B567A" w:rsidP="00FF75E3"/>
    <w:p w14:paraId="17F3359D" w14:textId="31633854" w:rsidR="00396D49" w:rsidRDefault="00396D49" w:rsidP="00FF75E3">
      <w:r>
        <w:t>COSLA had “</w:t>
      </w:r>
      <w:r w:rsidRPr="00A51502">
        <w:t>made a clear and urgent ask for significant additional investment of £750m to protect and strengthen social care</w:t>
      </w:r>
      <w:r>
        <w:t>” This has not been met. “</w:t>
      </w:r>
      <w:r w:rsidRPr="00A51502">
        <w:t>Without significant new resources, people will continue to face unacceptable delays for social work assessments and care packages. Services already under immense strain will be pushed even closer to breaking point, and councils will be forced into impossible choices. This will directly impact individuals - those who access care and support and those in hospital waiting for care - at a time when our shared ambition should be to shift the balance of care and improve population health</w:t>
      </w:r>
      <w:r>
        <w:t>”</w:t>
      </w:r>
      <w:r w:rsidRPr="00A51502">
        <w:rPr>
          <w:rStyle w:val="FootnoteReference"/>
          <w:sz w:val="24"/>
          <w:szCs w:val="24"/>
        </w:rPr>
        <w:footnoteReference w:id="13"/>
      </w:r>
      <w:r w:rsidR="00A55A91">
        <w:t xml:space="preserve">.  </w:t>
      </w:r>
    </w:p>
    <w:p w14:paraId="3EC484B8" w14:textId="77777777" w:rsidR="00396D49" w:rsidRDefault="00396D49" w:rsidP="00FF75E3"/>
    <w:p w14:paraId="0D3A84E2" w14:textId="11675DE5" w:rsidR="004754D7" w:rsidRPr="004754D7" w:rsidRDefault="004754D7" w:rsidP="00FF75E3">
      <w:r>
        <w:t>In January, Social Work Scotland published an important series of research studies</w:t>
      </w:r>
      <w:r w:rsidR="00372506">
        <w:rPr>
          <w:rStyle w:val="FootnoteReference"/>
        </w:rPr>
        <w:footnoteReference w:id="14"/>
      </w:r>
      <w:r>
        <w:t xml:space="preserve"> on </w:t>
      </w:r>
      <w:r w:rsidRPr="004754D7">
        <w:rPr>
          <w:i/>
          <w:iCs/>
        </w:rPr>
        <w:t>The State and Future of Social Work and Social Care Funding in Scotland</w:t>
      </w:r>
      <w:r>
        <w:t xml:space="preserve">, including a </w:t>
      </w:r>
      <w:r w:rsidR="00372506">
        <w:t xml:space="preserve">discussion paper (Report 4) drawing these findings together with </w:t>
      </w:r>
      <w:r w:rsidR="00B47704">
        <w:t xml:space="preserve">key </w:t>
      </w:r>
      <w:r w:rsidR="00372506">
        <w:t xml:space="preserve">points for discussion to be taken forward. </w:t>
      </w:r>
    </w:p>
    <w:p w14:paraId="52968C9E" w14:textId="77777777" w:rsidR="004754D7" w:rsidRDefault="004754D7" w:rsidP="00FF75E3"/>
    <w:p w14:paraId="5AD3DD11" w14:textId="126B2836" w:rsidR="00007790" w:rsidRDefault="00DF3491">
      <w:r>
        <w:t>Social Work Scotland’s recent Call to Action</w:t>
      </w:r>
      <w:r w:rsidR="004754D7">
        <w:rPr>
          <w:rStyle w:val="FootnoteReference"/>
        </w:rPr>
        <w:footnoteReference w:id="15"/>
      </w:r>
      <w:r>
        <w:t xml:space="preserve"> has called for the finance recommendations from the 2021 Independent Review of Adult Social Care to be revisited.  These </w:t>
      </w:r>
      <w:r w:rsidR="0098544C">
        <w:t xml:space="preserve">had </w:t>
      </w:r>
      <w:r>
        <w:t>recommended building into budgets the real terms growth required to meet the needs of an ageing population, and hold</w:t>
      </w:r>
      <w:r w:rsidR="0098544C">
        <w:t>ing</w:t>
      </w:r>
      <w:r>
        <w:t xml:space="preserve"> a sustained public debate about how the additional investment </w:t>
      </w:r>
      <w:r w:rsidR="004754D7">
        <w:t>required is best achieved through tax reform and other options.</w:t>
      </w:r>
      <w:r w:rsidR="0098544C">
        <w:t xml:space="preserve"> These Feeley Report recommendations have never been taken forward by the Scottish Government.</w:t>
      </w:r>
    </w:p>
    <w:p w14:paraId="18ED345F" w14:textId="77777777" w:rsidR="00396D49" w:rsidRDefault="00396D49"/>
    <w:p w14:paraId="58DA60A3" w14:textId="1D02CA8F" w:rsidR="00007790" w:rsidRPr="00FF75E3" w:rsidRDefault="0098544C" w:rsidP="0098544C">
      <w:pPr>
        <w:ind w:left="360"/>
        <w:jc w:val="center"/>
      </w:pPr>
      <w:r w:rsidRPr="0098544C">
        <w:rPr>
          <w:sz w:val="28"/>
          <w:szCs w:val="28"/>
        </w:rPr>
        <w:t>* * *</w:t>
      </w:r>
    </w:p>
    <w:p w14:paraId="17733377" w14:textId="77777777" w:rsidR="0098544C" w:rsidRDefault="0098544C" w:rsidP="002826C7"/>
    <w:p w14:paraId="1970D229" w14:textId="38B83796" w:rsidR="002826C7" w:rsidRPr="00FF75E3" w:rsidRDefault="002826C7" w:rsidP="002826C7">
      <w:r w:rsidRPr="00FF75E3">
        <w:t>It would be useful to know</w:t>
      </w:r>
      <w:r w:rsidR="007F0133">
        <w:t>:</w:t>
      </w:r>
      <w:r w:rsidRPr="00FF75E3">
        <w:t xml:space="preserve"> </w:t>
      </w:r>
      <w:r w:rsidR="007F0133">
        <w:t xml:space="preserve">(a) </w:t>
      </w:r>
      <w:r w:rsidRPr="00FF75E3">
        <w:t>whether readers of this updated Briefing find the information useful</w:t>
      </w:r>
      <w:r w:rsidR="007F0133">
        <w:t xml:space="preserve">, and (b) whether any other information received locally (for example from Scottish Government policy branches) </w:t>
      </w:r>
      <w:r w:rsidR="00B47704">
        <w:t>adds to</w:t>
      </w:r>
      <w:r w:rsidR="007F0133">
        <w:t xml:space="preserve"> the picture provided here</w:t>
      </w:r>
      <w:r w:rsidRPr="00FF75E3">
        <w:t>.</w:t>
      </w:r>
    </w:p>
    <w:p w14:paraId="1A18A392" w14:textId="77777777" w:rsidR="002826C7" w:rsidRPr="00FF75E3" w:rsidRDefault="002826C7" w:rsidP="008F2804">
      <w:pPr>
        <w:jc w:val="right"/>
      </w:pPr>
    </w:p>
    <w:p w14:paraId="6393B5E8" w14:textId="77777777" w:rsidR="002826C7" w:rsidRPr="00FF75E3" w:rsidRDefault="002826C7" w:rsidP="008F2804">
      <w:pPr>
        <w:jc w:val="right"/>
      </w:pPr>
    </w:p>
    <w:p w14:paraId="70486A19" w14:textId="70A38C9D" w:rsidR="008F2804" w:rsidRPr="00FF75E3" w:rsidRDefault="008F2804" w:rsidP="008F2804">
      <w:pPr>
        <w:jc w:val="right"/>
      </w:pPr>
      <w:r w:rsidRPr="00FF75E3">
        <w:t>Mike Brown</w:t>
      </w:r>
    </w:p>
    <w:p w14:paraId="7024365B" w14:textId="3EF799B3" w:rsidR="008F2804" w:rsidRPr="00FF75E3" w:rsidRDefault="008F2804" w:rsidP="008F2804">
      <w:pPr>
        <w:jc w:val="right"/>
      </w:pPr>
      <w:r w:rsidRPr="00FF75E3">
        <w:t>Treasurer, Social Work Scotland</w:t>
      </w:r>
    </w:p>
    <w:p w14:paraId="41CB41BC" w14:textId="4392C530" w:rsidR="00542BF7" w:rsidRPr="00FF75E3" w:rsidRDefault="00542BF7" w:rsidP="008F2804">
      <w:pPr>
        <w:jc w:val="right"/>
      </w:pPr>
      <w:r w:rsidRPr="00FF75E3">
        <w:rPr>
          <w:b/>
          <w:bCs/>
        </w:rPr>
        <w:t>Email</w:t>
      </w:r>
      <w:r w:rsidRPr="00FF75E3">
        <w:t xml:space="preserve">: </w:t>
      </w:r>
      <w:hyperlink r:id="rId9" w:history="1">
        <w:r w:rsidR="005B7233" w:rsidRPr="00FF75E3">
          <w:rPr>
            <w:rStyle w:val="Hyperlink"/>
          </w:rPr>
          <w:t>mike.brown@socialworkscotland.org</w:t>
        </w:r>
      </w:hyperlink>
      <w:r w:rsidR="005B7233" w:rsidRPr="00FF75E3">
        <w:t>;</w:t>
      </w:r>
    </w:p>
    <w:p w14:paraId="5976D31D" w14:textId="77777777" w:rsidR="005B7233" w:rsidRPr="00FF75E3" w:rsidRDefault="005B7233" w:rsidP="008F2804">
      <w:pPr>
        <w:jc w:val="right"/>
      </w:pPr>
    </w:p>
    <w:p w14:paraId="17406D3C" w14:textId="4CEADD87" w:rsidR="00FF75E3" w:rsidRPr="00FF75E3" w:rsidRDefault="00FF75E3" w:rsidP="008F2804">
      <w:pPr>
        <w:jc w:val="right"/>
      </w:pPr>
    </w:p>
    <w:p w14:paraId="0304A7D9" w14:textId="77777777" w:rsidR="0098544C" w:rsidRDefault="0098544C" w:rsidP="009008D5">
      <w:pPr>
        <w:rPr>
          <w:b/>
          <w:bCs/>
          <w:sz w:val="28"/>
          <w:szCs w:val="28"/>
        </w:rPr>
      </w:pPr>
    </w:p>
    <w:p w14:paraId="4C6E3B9D" w14:textId="398A2044" w:rsidR="009008D5" w:rsidRPr="00BB11BD" w:rsidRDefault="009008D5" w:rsidP="009008D5">
      <w:pPr>
        <w:rPr>
          <w:b/>
          <w:bCs/>
          <w:sz w:val="28"/>
          <w:szCs w:val="28"/>
        </w:rPr>
      </w:pPr>
      <w:r w:rsidRPr="00BB11BD">
        <w:rPr>
          <w:b/>
          <w:bCs/>
          <w:sz w:val="28"/>
          <w:szCs w:val="28"/>
        </w:rPr>
        <w:t>ANNEX – ESTIMATED DISTRIBUTIONS TO LOCAL AUTHORITIES</w:t>
      </w:r>
    </w:p>
    <w:p w14:paraId="5DF005F8" w14:textId="77777777" w:rsidR="00C04A22" w:rsidRPr="008F2804" w:rsidRDefault="00C04A22"/>
    <w:p w14:paraId="0A0C1B02" w14:textId="34DB982C" w:rsidR="006C6B15" w:rsidRPr="009676F1" w:rsidRDefault="007F5E43" w:rsidP="00FF75E3">
      <w:pPr>
        <w:tabs>
          <w:tab w:val="left" w:pos="5245"/>
        </w:tabs>
      </w:pPr>
      <w:r w:rsidRPr="009676F1">
        <w:t>The</w:t>
      </w:r>
      <w:r w:rsidR="00CB2CDC">
        <w:t xml:space="preserve"> three</w:t>
      </w:r>
      <w:r w:rsidRPr="009676F1">
        <w:t xml:space="preserve"> table</w:t>
      </w:r>
      <w:r w:rsidR="002826C7" w:rsidRPr="009676F1">
        <w:t>s</w:t>
      </w:r>
      <w:r w:rsidR="00247698" w:rsidRPr="009676F1">
        <w:t xml:space="preserve"> </w:t>
      </w:r>
      <w:r w:rsidRPr="009676F1">
        <w:rPr>
          <w:u w:val="single"/>
        </w:rPr>
        <w:t>overleaf</w:t>
      </w:r>
      <w:r w:rsidRPr="009676F1">
        <w:t xml:space="preserve"> </w:t>
      </w:r>
      <w:r w:rsidR="002826C7" w:rsidRPr="009676F1">
        <w:t xml:space="preserve">update the additional social care related funding for each local authority, </w:t>
      </w:r>
      <w:r w:rsidRPr="009676F1">
        <w:t xml:space="preserve">using the </w:t>
      </w:r>
      <w:r w:rsidR="002826C7" w:rsidRPr="009676F1">
        <w:t>recently published</w:t>
      </w:r>
      <w:r w:rsidR="002826C7" w:rsidRPr="009676F1">
        <w:rPr>
          <w:rStyle w:val="FootnoteReference"/>
        </w:rPr>
        <w:footnoteReference w:id="16"/>
      </w:r>
      <w:r w:rsidR="002826C7" w:rsidRPr="009676F1">
        <w:t xml:space="preserve"> </w:t>
      </w:r>
      <w:r w:rsidR="008F2804" w:rsidRPr="009676F1">
        <w:t>202</w:t>
      </w:r>
      <w:r w:rsidR="002826C7" w:rsidRPr="009676F1">
        <w:t>6</w:t>
      </w:r>
      <w:r w:rsidR="008F2804" w:rsidRPr="009676F1">
        <w:t>-2</w:t>
      </w:r>
      <w:r w:rsidR="002826C7" w:rsidRPr="009676F1">
        <w:t>7</w:t>
      </w:r>
      <w:r w:rsidR="00B11B07" w:rsidRPr="009676F1">
        <w:t xml:space="preserve"> “Green Book”</w:t>
      </w:r>
      <w:r w:rsidR="002826C7" w:rsidRPr="009676F1">
        <w:rPr>
          <w:rStyle w:val="FootnoteReference"/>
        </w:rPr>
        <w:t xml:space="preserve"> </w:t>
      </w:r>
      <w:r w:rsidRPr="009676F1">
        <w:t xml:space="preserve">percentage </w:t>
      </w:r>
      <w:r w:rsidR="008F2804" w:rsidRPr="009676F1">
        <w:t>distributions</w:t>
      </w:r>
      <w:r w:rsidRPr="009676F1">
        <w:t xml:space="preserve"> </w:t>
      </w:r>
      <w:r w:rsidR="006C6B15" w:rsidRPr="009676F1">
        <w:t xml:space="preserve">  </w:t>
      </w:r>
    </w:p>
    <w:p w14:paraId="3EF08396" w14:textId="77777777" w:rsidR="002826C7" w:rsidRPr="009676F1" w:rsidRDefault="002826C7" w:rsidP="006C6B15"/>
    <w:p w14:paraId="1749EC81" w14:textId="192785CB" w:rsidR="00207978" w:rsidRPr="009676F1" w:rsidRDefault="00207978" w:rsidP="006C6B15">
      <w:r w:rsidRPr="009676F1">
        <w:t>The bases for the di</w:t>
      </w:r>
      <w:r w:rsidR="00441AB8" w:rsidRPr="009676F1">
        <w:t>st</w:t>
      </w:r>
      <w:r w:rsidRPr="009676F1">
        <w:t>ributio</w:t>
      </w:r>
      <w:r w:rsidR="00441AB8" w:rsidRPr="009676F1">
        <w:t>n</w:t>
      </w:r>
      <w:r w:rsidRPr="009676F1">
        <w:t xml:space="preserve">s are </w:t>
      </w:r>
      <w:r w:rsidR="00441AB8" w:rsidRPr="009676F1">
        <w:t>understood</w:t>
      </w:r>
      <w:r w:rsidR="009676F1">
        <w:t xml:space="preserve"> </w:t>
      </w:r>
      <w:r w:rsidR="00441AB8" w:rsidRPr="009676F1">
        <w:t xml:space="preserve">to be </w:t>
      </w:r>
      <w:r w:rsidRPr="009676F1">
        <w:t xml:space="preserve">as </w:t>
      </w:r>
      <w:r w:rsidR="00937704">
        <w:t>set out in the table below;</w:t>
      </w:r>
      <w:r w:rsidR="009676F1">
        <w:t xml:space="preserve"> those for the Care Leaver Payments and for </w:t>
      </w:r>
      <w:r w:rsidR="009676F1" w:rsidRPr="009676F1">
        <w:t>Children Care &amp; Justice (Scotland) Act preparation</w:t>
      </w:r>
      <w:r w:rsidR="009676F1">
        <w:t xml:space="preserve"> are being decided by the Scottish Government/COSLA Settlement and Distribution Group</w:t>
      </w:r>
      <w:r w:rsidR="00937704">
        <w:rPr>
          <w:rStyle w:val="FootnoteReference"/>
          <w:rFonts w:eastAsia="Times New Roman" w:cs="Arial"/>
          <w:color w:val="000000"/>
          <w:kern w:val="0"/>
          <w:sz w:val="20"/>
          <w:szCs w:val="20"/>
          <w:lang w:eastAsia="en-GB"/>
          <w14:ligatures w14:val="none"/>
        </w:rPr>
        <w:footnoteReference w:id="17"/>
      </w:r>
      <w:r w:rsidR="009676F1">
        <w:t xml:space="preserve"> –</w:t>
      </w:r>
      <w:r w:rsidR="00937704">
        <w:t xml:space="preserve">for these two </w:t>
      </w:r>
      <w:r w:rsidR="00937704">
        <w:lastRenderedPageBreak/>
        <w:t xml:space="preserve">items the distribution bases shown in the table are </w:t>
      </w:r>
      <w:r w:rsidR="009B29E8" w:rsidRPr="009B29E8">
        <w:rPr>
          <w:i/>
          <w:iCs/>
        </w:rPr>
        <w:t>provisional</w:t>
      </w:r>
      <w:r w:rsidR="009B29E8">
        <w:t xml:space="preserve">: </w:t>
      </w:r>
      <w:r w:rsidR="00937704">
        <w:t>the GAE categories that seem most relevant</w:t>
      </w:r>
      <w:r w:rsidR="009B29E8">
        <w:t>.</w:t>
      </w:r>
    </w:p>
    <w:p w14:paraId="1EFB6115" w14:textId="77777777" w:rsidR="00FF75E3" w:rsidRDefault="00FF75E3"/>
    <w:p w14:paraId="683F7AB2" w14:textId="7DC61049" w:rsidR="00DF3491" w:rsidRPr="00DF3491" w:rsidRDefault="00DF3491">
      <w:pPr>
        <w:rPr>
          <w:b/>
          <w:bCs/>
          <w:sz w:val="20"/>
          <w:szCs w:val="20"/>
        </w:rPr>
      </w:pPr>
      <w:r w:rsidRPr="00DF3491">
        <w:rPr>
          <w:b/>
          <w:bCs/>
          <w:sz w:val="20"/>
          <w:szCs w:val="20"/>
        </w:rPr>
        <w:t>Bases used for the distributions of additional funding in Tables A1, A2, and A3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548"/>
        <w:gridCol w:w="1484"/>
        <w:gridCol w:w="2410"/>
        <w:gridCol w:w="2801"/>
      </w:tblGrid>
      <w:tr w:rsidR="00FF75E3" w:rsidRPr="00FF75E3" w14:paraId="6783B94A" w14:textId="34FF3870" w:rsidTr="00396D49">
        <w:trPr>
          <w:trHeight w:val="127"/>
          <w:tblHeader/>
        </w:trPr>
        <w:tc>
          <w:tcPr>
            <w:tcW w:w="1675" w:type="dxa"/>
            <w:vMerge w:val="restart"/>
            <w:vAlign w:val="center"/>
          </w:tcPr>
          <w:p w14:paraId="6D754666" w14:textId="759558D1" w:rsidR="00FF75E3" w:rsidRPr="00FF75E3" w:rsidRDefault="00FF75E3" w:rsidP="00FF75E3">
            <w:pPr>
              <w:rPr>
                <w:rFonts w:eastAsia="Times New Roman" w:cs="Arial"/>
                <w:color w:val="000000"/>
                <w:kern w:val="0"/>
                <w:sz w:val="20"/>
                <w:szCs w:val="20"/>
                <w:lang w:eastAsia="en-GB"/>
                <w14:ligatures w14:val="none"/>
              </w:rPr>
            </w:pPr>
            <w:r w:rsidRPr="00FC25FD">
              <w:rPr>
                <w:rFonts w:eastAsia="Times New Roman" w:cs="Arial"/>
                <w:b/>
                <w:bCs/>
                <w:color w:val="000000"/>
                <w:kern w:val="0"/>
                <w:sz w:val="21"/>
                <w:szCs w:val="21"/>
                <w:lang w:eastAsia="en-GB"/>
                <w14:ligatures w14:val="none"/>
              </w:rPr>
              <w:t>LG Settlement increases</w:t>
            </w:r>
          </w:p>
        </w:tc>
        <w:tc>
          <w:tcPr>
            <w:tcW w:w="1548" w:type="dxa"/>
            <w:vMerge w:val="restart"/>
            <w:vAlign w:val="center"/>
          </w:tcPr>
          <w:p w14:paraId="471AA799" w14:textId="7296BB26" w:rsidR="00FF75E3" w:rsidRPr="00FF75E3" w:rsidRDefault="00FF75E3" w:rsidP="00FF75E3">
            <w:pPr>
              <w:jc w:val="right"/>
              <w:rPr>
                <w:rFonts w:eastAsia="Times New Roman" w:cs="Arial"/>
                <w:color w:val="000000"/>
                <w:kern w:val="0"/>
                <w:sz w:val="20"/>
                <w:szCs w:val="20"/>
                <w:lang w:eastAsia="en-GB"/>
                <w14:ligatures w14:val="none"/>
              </w:rPr>
            </w:pPr>
            <w:r w:rsidRPr="00FC25FD">
              <w:rPr>
                <w:rFonts w:eastAsia="Times New Roman" w:cs="Arial"/>
                <w:b/>
                <w:bCs/>
                <w:color w:val="000000"/>
                <w:kern w:val="0"/>
                <w:sz w:val="21"/>
                <w:szCs w:val="21"/>
                <w:lang w:eastAsia="en-GB"/>
                <w14:ligatures w14:val="none"/>
              </w:rPr>
              <w:t>£M</w:t>
            </w:r>
          </w:p>
        </w:tc>
        <w:tc>
          <w:tcPr>
            <w:tcW w:w="6695" w:type="dxa"/>
            <w:gridSpan w:val="3"/>
            <w:noWrap/>
          </w:tcPr>
          <w:p w14:paraId="3E24E852" w14:textId="1470F64A" w:rsidR="00FF75E3" w:rsidRPr="00FF75E3" w:rsidRDefault="00FF75E3" w:rsidP="009008D5">
            <w:pPr>
              <w:rPr>
                <w:rFonts w:eastAsia="Times New Roman" w:cs="Arial"/>
                <w:color w:val="000000"/>
                <w:kern w:val="0"/>
                <w:sz w:val="20"/>
                <w:szCs w:val="20"/>
                <w:lang w:eastAsia="en-GB"/>
                <w14:ligatures w14:val="none"/>
              </w:rPr>
            </w:pPr>
            <w:r w:rsidRPr="00FC25FD">
              <w:rPr>
                <w:rFonts w:eastAsia="Times New Roman" w:cs="Arial"/>
                <w:b/>
                <w:bCs/>
                <w:color w:val="000000"/>
                <w:kern w:val="0"/>
                <w:sz w:val="21"/>
                <w:szCs w:val="21"/>
                <w:lang w:eastAsia="en-GB"/>
                <w14:ligatures w14:val="none"/>
              </w:rPr>
              <w:t>GAE distribution</w:t>
            </w:r>
          </w:p>
        </w:tc>
      </w:tr>
      <w:tr w:rsidR="00FF75E3" w:rsidRPr="00FF75E3" w14:paraId="59FB8236" w14:textId="28F15E25" w:rsidTr="00396D49">
        <w:trPr>
          <w:trHeight w:val="160"/>
          <w:tblHeader/>
        </w:trPr>
        <w:tc>
          <w:tcPr>
            <w:tcW w:w="1675" w:type="dxa"/>
            <w:vMerge/>
          </w:tcPr>
          <w:p w14:paraId="1AF8E37B" w14:textId="21B3461C" w:rsidR="00FF75E3" w:rsidRPr="00FF75E3" w:rsidRDefault="00FF75E3" w:rsidP="00FF75E3">
            <w:pPr>
              <w:rPr>
                <w:rFonts w:eastAsia="Times New Roman" w:cs="Arial"/>
                <w:color w:val="000000"/>
                <w:kern w:val="0"/>
                <w:sz w:val="20"/>
                <w:szCs w:val="20"/>
                <w:lang w:eastAsia="en-GB"/>
                <w14:ligatures w14:val="none"/>
              </w:rPr>
            </w:pPr>
          </w:p>
        </w:tc>
        <w:tc>
          <w:tcPr>
            <w:tcW w:w="1548" w:type="dxa"/>
            <w:vMerge/>
          </w:tcPr>
          <w:p w14:paraId="593B9975" w14:textId="2CBD3B3F" w:rsidR="00FF75E3" w:rsidRPr="00FF75E3" w:rsidRDefault="00FF75E3" w:rsidP="00FF75E3">
            <w:pPr>
              <w:jc w:val="right"/>
              <w:rPr>
                <w:rFonts w:eastAsia="Times New Roman" w:cs="Arial"/>
                <w:color w:val="000000"/>
                <w:kern w:val="0"/>
                <w:sz w:val="20"/>
                <w:szCs w:val="20"/>
                <w:lang w:eastAsia="en-GB"/>
                <w14:ligatures w14:val="none"/>
              </w:rPr>
            </w:pPr>
          </w:p>
        </w:tc>
        <w:tc>
          <w:tcPr>
            <w:tcW w:w="1484" w:type="dxa"/>
            <w:noWrap/>
            <w:vAlign w:val="bottom"/>
          </w:tcPr>
          <w:p w14:paraId="5E7B0B0C" w14:textId="30B9B757" w:rsidR="00FF75E3" w:rsidRPr="00FF75E3" w:rsidRDefault="00FF75E3" w:rsidP="00FF75E3">
            <w:pPr>
              <w:rPr>
                <w:rFonts w:eastAsia="Times New Roman" w:cs="Arial"/>
                <w:color w:val="000000"/>
                <w:kern w:val="0"/>
                <w:sz w:val="20"/>
                <w:szCs w:val="20"/>
                <w:lang w:eastAsia="en-GB"/>
                <w14:ligatures w14:val="none"/>
              </w:rPr>
            </w:pPr>
            <w:r w:rsidRPr="00FC25FD">
              <w:rPr>
                <w:rFonts w:eastAsia="Times New Roman" w:cs="Arial"/>
                <w:b/>
                <w:bCs/>
                <w:color w:val="000000"/>
                <w:kern w:val="0"/>
                <w:sz w:val="21"/>
                <w:szCs w:val="21"/>
                <w:lang w:eastAsia="en-GB"/>
                <w14:ligatures w14:val="none"/>
              </w:rPr>
              <w:t>Section</w:t>
            </w:r>
          </w:p>
        </w:tc>
        <w:tc>
          <w:tcPr>
            <w:tcW w:w="2410" w:type="dxa"/>
            <w:vAlign w:val="bottom"/>
          </w:tcPr>
          <w:p w14:paraId="3163BAA1" w14:textId="5FBB44F8" w:rsidR="00FF75E3" w:rsidRPr="00FF75E3" w:rsidRDefault="00FF75E3" w:rsidP="00FF75E3">
            <w:pPr>
              <w:rPr>
                <w:rFonts w:eastAsia="Times New Roman" w:cs="Arial"/>
                <w:color w:val="000000"/>
                <w:kern w:val="0"/>
                <w:sz w:val="20"/>
                <w:szCs w:val="20"/>
                <w:lang w:eastAsia="en-GB"/>
                <w14:ligatures w14:val="none"/>
              </w:rPr>
            </w:pPr>
            <w:r w:rsidRPr="00FC25FD">
              <w:rPr>
                <w:rFonts w:eastAsia="Times New Roman" w:cs="Arial"/>
                <w:b/>
                <w:bCs/>
                <w:color w:val="000000"/>
                <w:kern w:val="0"/>
                <w:sz w:val="21"/>
                <w:szCs w:val="21"/>
                <w:lang w:eastAsia="en-GB"/>
                <w14:ligatures w14:val="none"/>
              </w:rPr>
              <w:t>GAE category</w:t>
            </w:r>
          </w:p>
        </w:tc>
        <w:tc>
          <w:tcPr>
            <w:tcW w:w="2801" w:type="dxa"/>
          </w:tcPr>
          <w:p w14:paraId="4EB56870" w14:textId="631D1AC2" w:rsidR="00FF75E3" w:rsidRPr="00FF75E3" w:rsidRDefault="00FF75E3" w:rsidP="00FF75E3">
            <w:pPr>
              <w:rPr>
                <w:rFonts w:eastAsia="Times New Roman" w:cs="Arial"/>
                <w:b/>
                <w:bCs/>
                <w:color w:val="000000"/>
                <w:kern w:val="0"/>
                <w:sz w:val="20"/>
                <w:szCs w:val="20"/>
                <w:lang w:eastAsia="en-GB"/>
                <w14:ligatures w14:val="none"/>
              </w:rPr>
            </w:pPr>
            <w:r w:rsidRPr="00FF75E3">
              <w:rPr>
                <w:rFonts w:eastAsia="Times New Roman" w:cs="Arial"/>
                <w:b/>
                <w:bCs/>
                <w:color w:val="000000"/>
                <w:kern w:val="0"/>
                <w:sz w:val="20"/>
                <w:szCs w:val="20"/>
                <w:lang w:eastAsia="en-GB"/>
                <w14:ligatures w14:val="none"/>
              </w:rPr>
              <w:t>SWS Comments</w:t>
            </w:r>
          </w:p>
        </w:tc>
      </w:tr>
      <w:tr w:rsidR="00E36D5A" w:rsidRPr="00FF75E3" w14:paraId="038E7E11" w14:textId="634385B8" w:rsidTr="00A90724">
        <w:trPr>
          <w:trHeight w:val="669"/>
        </w:trPr>
        <w:tc>
          <w:tcPr>
            <w:tcW w:w="1675" w:type="dxa"/>
            <w:vMerge w:val="restart"/>
            <w:vAlign w:val="center"/>
          </w:tcPr>
          <w:p w14:paraId="200DE3C3" w14:textId="1611A729" w:rsidR="00E36D5A" w:rsidRPr="00FF75E3" w:rsidRDefault="00E36D5A" w:rsidP="00565F14">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Adult Social Care Real Living Wage uplifts</w:t>
            </w:r>
          </w:p>
        </w:tc>
        <w:tc>
          <w:tcPr>
            <w:tcW w:w="1548" w:type="dxa"/>
          </w:tcPr>
          <w:p w14:paraId="4FE77E97" w14:textId="5C934CB6" w:rsidR="00E36D5A" w:rsidRPr="00FF75E3" w:rsidRDefault="00E36D5A" w:rsidP="00FF75E3">
            <w:pPr>
              <w:jc w:val="right"/>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£1</w:t>
            </w:r>
            <w:r w:rsidR="00113D8F">
              <w:rPr>
                <w:rFonts w:eastAsia="Times New Roman" w:cs="Arial"/>
                <w:color w:val="000000"/>
                <w:kern w:val="0"/>
                <w:sz w:val="20"/>
                <w:szCs w:val="20"/>
                <w:lang w:eastAsia="en-GB"/>
                <w14:ligatures w14:val="none"/>
              </w:rPr>
              <w:t>6</w:t>
            </w:r>
            <w:r w:rsidRPr="00FF75E3">
              <w:rPr>
                <w:rFonts w:eastAsia="Times New Roman" w:cs="Arial"/>
                <w:color w:val="000000"/>
                <w:kern w:val="0"/>
                <w:sz w:val="20"/>
                <w:szCs w:val="20"/>
                <w:lang w:eastAsia="en-GB"/>
                <w14:ligatures w14:val="none"/>
              </w:rPr>
              <w:t>0.000</w:t>
            </w:r>
          </w:p>
        </w:tc>
        <w:tc>
          <w:tcPr>
            <w:tcW w:w="1484" w:type="dxa"/>
            <w:noWrap/>
          </w:tcPr>
          <w:p w14:paraId="7EF03D05" w14:textId="0F42A775" w:rsidR="00E36D5A" w:rsidRPr="00FF75E3" w:rsidRDefault="00E36D5A" w:rsidP="00FF75E3">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Social Work</w:t>
            </w:r>
          </w:p>
        </w:tc>
        <w:tc>
          <w:tcPr>
            <w:tcW w:w="2410" w:type="dxa"/>
          </w:tcPr>
          <w:p w14:paraId="6161E4AC" w14:textId="0B1EDA52" w:rsidR="00E36D5A" w:rsidRPr="00FF75E3" w:rsidRDefault="00E36D5A" w:rsidP="00FF75E3">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Carers Services, Respite Care and Health &amp; Social Care Uplift</w:t>
            </w:r>
          </w:p>
        </w:tc>
        <w:tc>
          <w:tcPr>
            <w:tcW w:w="2801" w:type="dxa"/>
          </w:tcPr>
          <w:p w14:paraId="306DC9E6" w14:textId="48CE81AF" w:rsidR="00E36D5A" w:rsidRPr="00FF75E3" w:rsidRDefault="00E36D5A" w:rsidP="00FF75E3">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As per latest GAE Green Book</w:t>
            </w:r>
          </w:p>
        </w:tc>
      </w:tr>
      <w:tr w:rsidR="00657B4D" w:rsidRPr="00FF75E3" w14:paraId="52777334" w14:textId="77777777" w:rsidTr="00A90724">
        <w:trPr>
          <w:trHeight w:val="271"/>
        </w:trPr>
        <w:tc>
          <w:tcPr>
            <w:tcW w:w="1675" w:type="dxa"/>
            <w:vMerge/>
          </w:tcPr>
          <w:p w14:paraId="59822A3D" w14:textId="54B940D9" w:rsidR="00657B4D" w:rsidRPr="00FF75E3" w:rsidRDefault="00657B4D" w:rsidP="00657B4D">
            <w:pPr>
              <w:rPr>
                <w:rFonts w:eastAsia="Times New Roman" w:cs="Arial"/>
                <w:color w:val="000000"/>
                <w:kern w:val="0"/>
                <w:sz w:val="20"/>
                <w:szCs w:val="20"/>
                <w:lang w:eastAsia="en-GB"/>
                <w14:ligatures w14:val="none"/>
              </w:rPr>
            </w:pPr>
          </w:p>
        </w:tc>
        <w:tc>
          <w:tcPr>
            <w:tcW w:w="1548" w:type="dxa"/>
          </w:tcPr>
          <w:p w14:paraId="719B41CB" w14:textId="4DC179F7" w:rsidR="00657B4D" w:rsidRPr="00FF75E3" w:rsidRDefault="00657B4D" w:rsidP="00657B4D">
            <w:pPr>
              <w:jc w:val="right"/>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w:t>
            </w:r>
            <w:r w:rsidRPr="00657B4D">
              <w:rPr>
                <w:rFonts w:eastAsia="Times New Roman" w:cs="Arial"/>
                <w:color w:val="000000"/>
                <w:kern w:val="0"/>
                <w:sz w:val="20"/>
                <w:szCs w:val="20"/>
                <w:lang w:eastAsia="en-GB"/>
                <w14:ligatures w14:val="none"/>
              </w:rPr>
              <w:t>14.7</w:t>
            </w:r>
            <w:r>
              <w:rPr>
                <w:rFonts w:eastAsia="Times New Roman" w:cs="Arial"/>
                <w:color w:val="000000"/>
                <w:kern w:val="0"/>
                <w:sz w:val="20"/>
                <w:szCs w:val="20"/>
                <w:lang w:eastAsia="en-GB"/>
                <w14:ligatures w14:val="none"/>
              </w:rPr>
              <w:t>00</w:t>
            </w:r>
          </w:p>
        </w:tc>
        <w:tc>
          <w:tcPr>
            <w:tcW w:w="1484" w:type="dxa"/>
            <w:noWrap/>
          </w:tcPr>
          <w:p w14:paraId="6C380E91" w14:textId="0A6CADDD"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As above</w:t>
            </w:r>
          </w:p>
        </w:tc>
        <w:tc>
          <w:tcPr>
            <w:tcW w:w="2410" w:type="dxa"/>
          </w:tcPr>
          <w:p w14:paraId="3D93BA66" w14:textId="527A6540"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As above</w:t>
            </w:r>
          </w:p>
        </w:tc>
        <w:tc>
          <w:tcPr>
            <w:tcW w:w="2801" w:type="dxa"/>
          </w:tcPr>
          <w:p w14:paraId="6762C048" w14:textId="75B6BFC2"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 xml:space="preserve">Redetermination </w:t>
            </w:r>
          </w:p>
        </w:tc>
      </w:tr>
      <w:tr w:rsidR="00657B4D" w:rsidRPr="00FF75E3" w14:paraId="2F69C5A3" w14:textId="7EE73F2A" w:rsidTr="00A90724">
        <w:trPr>
          <w:trHeight w:val="687"/>
        </w:trPr>
        <w:tc>
          <w:tcPr>
            <w:tcW w:w="1675" w:type="dxa"/>
            <w:vMerge w:val="restart"/>
            <w:vAlign w:val="center"/>
            <w:hideMark/>
          </w:tcPr>
          <w:p w14:paraId="73E7DB29" w14:textId="77777777"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Children's "social care" Real Living Wage uplifts</w:t>
            </w:r>
          </w:p>
        </w:tc>
        <w:tc>
          <w:tcPr>
            <w:tcW w:w="1548" w:type="dxa"/>
          </w:tcPr>
          <w:p w14:paraId="20CFAD48" w14:textId="03581CE2" w:rsidR="00657B4D" w:rsidRPr="00FF75E3" w:rsidRDefault="00657B4D" w:rsidP="00657B4D">
            <w:pPr>
              <w:jc w:val="right"/>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£11.000</w:t>
            </w:r>
          </w:p>
        </w:tc>
        <w:tc>
          <w:tcPr>
            <w:tcW w:w="1484" w:type="dxa"/>
            <w:noWrap/>
          </w:tcPr>
          <w:p w14:paraId="5A376085" w14:textId="6658B901"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Social Work</w:t>
            </w:r>
          </w:p>
        </w:tc>
        <w:tc>
          <w:tcPr>
            <w:tcW w:w="2410" w:type="dxa"/>
          </w:tcPr>
          <w:p w14:paraId="197EC574" w14:textId="7C338506"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Changing Children’s Services Development Fund</w:t>
            </w:r>
          </w:p>
        </w:tc>
        <w:tc>
          <w:tcPr>
            <w:tcW w:w="2801" w:type="dxa"/>
          </w:tcPr>
          <w:p w14:paraId="086F1A75" w14:textId="7A0998D2"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As per latest GAE Green Book – change in distribution basis since 2025-26</w:t>
            </w:r>
            <w:r>
              <w:rPr>
                <w:rStyle w:val="FootnoteReference"/>
                <w:rFonts w:eastAsia="Times New Roman" w:cs="Arial"/>
                <w:color w:val="000000"/>
                <w:kern w:val="0"/>
                <w:sz w:val="20"/>
                <w:szCs w:val="20"/>
                <w:lang w:eastAsia="en-GB"/>
                <w14:ligatures w14:val="none"/>
              </w:rPr>
              <w:footnoteReference w:id="18"/>
            </w:r>
          </w:p>
        </w:tc>
      </w:tr>
      <w:tr w:rsidR="00657B4D" w:rsidRPr="00FF75E3" w14:paraId="7381C6EC" w14:textId="77777777" w:rsidTr="00A90724">
        <w:trPr>
          <w:trHeight w:val="260"/>
        </w:trPr>
        <w:tc>
          <w:tcPr>
            <w:tcW w:w="1675" w:type="dxa"/>
            <w:vMerge/>
          </w:tcPr>
          <w:p w14:paraId="0343D504" w14:textId="77777777" w:rsidR="00657B4D" w:rsidRPr="00FF75E3" w:rsidRDefault="00657B4D" w:rsidP="00657B4D">
            <w:pPr>
              <w:rPr>
                <w:rFonts w:eastAsia="Times New Roman" w:cs="Arial"/>
                <w:color w:val="000000"/>
                <w:kern w:val="0"/>
                <w:sz w:val="20"/>
                <w:szCs w:val="20"/>
                <w:lang w:eastAsia="en-GB"/>
                <w14:ligatures w14:val="none"/>
              </w:rPr>
            </w:pPr>
          </w:p>
        </w:tc>
        <w:tc>
          <w:tcPr>
            <w:tcW w:w="1548" w:type="dxa"/>
          </w:tcPr>
          <w:p w14:paraId="5C4F9E6B" w14:textId="3C1B3297" w:rsidR="00657B4D" w:rsidRPr="00FF75E3" w:rsidRDefault="00657B4D" w:rsidP="00657B4D">
            <w:pPr>
              <w:jc w:val="right"/>
              <w:rPr>
                <w:rFonts w:eastAsia="Times New Roman" w:cs="Arial"/>
                <w:color w:val="000000"/>
                <w:kern w:val="0"/>
                <w:sz w:val="20"/>
                <w:szCs w:val="20"/>
                <w:lang w:eastAsia="en-GB"/>
                <w14:ligatures w14:val="none"/>
              </w:rPr>
            </w:pPr>
            <w:r>
              <w:rPr>
                <w:rFonts w:eastAsia="Times New Roman" w:cs="Arial"/>
                <w:kern w:val="0"/>
                <w:sz w:val="20"/>
                <w:szCs w:val="20"/>
                <w:lang w:eastAsia="en-GB"/>
                <w14:ligatures w14:val="none"/>
              </w:rPr>
              <w:t>£</w:t>
            </w:r>
            <w:r w:rsidRPr="00657B4D">
              <w:rPr>
                <w:rFonts w:eastAsia="Times New Roman" w:cs="Arial"/>
                <w:kern w:val="0"/>
                <w:sz w:val="20"/>
                <w:szCs w:val="20"/>
                <w:lang w:eastAsia="en-GB"/>
                <w14:ligatures w14:val="none"/>
              </w:rPr>
              <w:t>2.9</w:t>
            </w:r>
            <w:r>
              <w:rPr>
                <w:rFonts w:eastAsia="Times New Roman" w:cs="Arial"/>
                <w:kern w:val="0"/>
                <w:sz w:val="20"/>
                <w:szCs w:val="20"/>
                <w:lang w:eastAsia="en-GB"/>
                <w14:ligatures w14:val="none"/>
              </w:rPr>
              <w:t>00</w:t>
            </w:r>
          </w:p>
        </w:tc>
        <w:tc>
          <w:tcPr>
            <w:tcW w:w="1484" w:type="dxa"/>
            <w:noWrap/>
          </w:tcPr>
          <w:p w14:paraId="757D4FE7" w14:textId="06D051C0"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As above</w:t>
            </w:r>
          </w:p>
        </w:tc>
        <w:tc>
          <w:tcPr>
            <w:tcW w:w="2410" w:type="dxa"/>
            <w:noWrap/>
          </w:tcPr>
          <w:p w14:paraId="636F4A60" w14:textId="00DCEE52"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As above</w:t>
            </w:r>
          </w:p>
        </w:tc>
        <w:tc>
          <w:tcPr>
            <w:tcW w:w="2801" w:type="dxa"/>
          </w:tcPr>
          <w:p w14:paraId="3F852FA6" w14:textId="36AF82C7"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 xml:space="preserve">Redetermination </w:t>
            </w:r>
          </w:p>
        </w:tc>
      </w:tr>
      <w:tr w:rsidR="00657B4D" w:rsidRPr="00FF75E3" w14:paraId="62454628" w14:textId="77777777" w:rsidTr="00A90724">
        <w:trPr>
          <w:trHeight w:val="721"/>
        </w:trPr>
        <w:tc>
          <w:tcPr>
            <w:tcW w:w="1675" w:type="dxa"/>
            <w:vMerge w:val="restart"/>
            <w:vAlign w:val="center"/>
          </w:tcPr>
          <w:p w14:paraId="3513CA42" w14:textId="77777777"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Early Learning and Childcare Real Living Wage uplifts</w:t>
            </w:r>
          </w:p>
        </w:tc>
        <w:tc>
          <w:tcPr>
            <w:tcW w:w="1548" w:type="dxa"/>
          </w:tcPr>
          <w:p w14:paraId="534310C1" w14:textId="77777777" w:rsidR="00657B4D" w:rsidRPr="00FF75E3" w:rsidRDefault="00657B4D" w:rsidP="00657B4D">
            <w:pPr>
              <w:jc w:val="right"/>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£11.000</w:t>
            </w:r>
          </w:p>
        </w:tc>
        <w:tc>
          <w:tcPr>
            <w:tcW w:w="1484" w:type="dxa"/>
            <w:noWrap/>
          </w:tcPr>
          <w:p w14:paraId="4EE6A097" w14:textId="77777777" w:rsidR="00657B4D" w:rsidRPr="00A90724" w:rsidRDefault="00657B4D" w:rsidP="00657B4D">
            <w:pPr>
              <w:rPr>
                <w:rFonts w:eastAsia="Times New Roman" w:cs="Arial"/>
                <w:color w:val="000000"/>
                <w:kern w:val="0"/>
                <w:sz w:val="20"/>
                <w:szCs w:val="20"/>
                <w:lang w:eastAsia="en-GB"/>
                <w14:ligatures w14:val="none"/>
              </w:rPr>
            </w:pPr>
            <w:r w:rsidRPr="00A90724">
              <w:rPr>
                <w:rFonts w:eastAsia="Times New Roman" w:cs="Arial"/>
                <w:color w:val="000000"/>
                <w:kern w:val="0"/>
                <w:sz w:val="20"/>
                <w:szCs w:val="20"/>
                <w:lang w:eastAsia="en-GB"/>
                <w14:ligatures w14:val="none"/>
              </w:rPr>
              <w:t>Education</w:t>
            </w:r>
          </w:p>
        </w:tc>
        <w:tc>
          <w:tcPr>
            <w:tcW w:w="2410" w:type="dxa"/>
            <w:noWrap/>
          </w:tcPr>
          <w:p w14:paraId="00ABB0F4" w14:textId="77777777"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Early Learning &amp; Childcare [in Education GAE]</w:t>
            </w:r>
          </w:p>
        </w:tc>
        <w:tc>
          <w:tcPr>
            <w:tcW w:w="2801" w:type="dxa"/>
          </w:tcPr>
          <w:p w14:paraId="55B029ED" w14:textId="5720421D"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As per latest GAE Green Book</w:t>
            </w:r>
          </w:p>
        </w:tc>
      </w:tr>
      <w:tr w:rsidR="00657B4D" w:rsidRPr="00FF75E3" w14:paraId="4B4B708B" w14:textId="2956B912" w:rsidTr="00A90724">
        <w:trPr>
          <w:trHeight w:val="272"/>
        </w:trPr>
        <w:tc>
          <w:tcPr>
            <w:tcW w:w="1675" w:type="dxa"/>
            <w:vMerge/>
          </w:tcPr>
          <w:p w14:paraId="07CFD788" w14:textId="6AD0556D" w:rsidR="00657B4D" w:rsidRPr="00FF75E3" w:rsidRDefault="00657B4D" w:rsidP="00657B4D">
            <w:pPr>
              <w:rPr>
                <w:rFonts w:eastAsia="Times New Roman" w:cs="Arial"/>
                <w:color w:val="000000"/>
                <w:kern w:val="0"/>
                <w:sz w:val="20"/>
                <w:szCs w:val="20"/>
                <w:lang w:eastAsia="en-GB"/>
                <w14:ligatures w14:val="none"/>
              </w:rPr>
            </w:pPr>
          </w:p>
        </w:tc>
        <w:tc>
          <w:tcPr>
            <w:tcW w:w="1548" w:type="dxa"/>
          </w:tcPr>
          <w:p w14:paraId="4B8C43AA" w14:textId="0F2DE6FD" w:rsidR="00657B4D" w:rsidRPr="00657B4D" w:rsidRDefault="00657B4D" w:rsidP="00657B4D">
            <w:pPr>
              <w:jc w:val="right"/>
              <w:rPr>
                <w:rFonts w:eastAsia="Times New Roman" w:cs="Arial"/>
                <w:color w:val="000000"/>
                <w:kern w:val="0"/>
                <w:sz w:val="20"/>
                <w:szCs w:val="20"/>
                <w:lang w:eastAsia="en-GB"/>
                <w14:ligatures w14:val="none"/>
              </w:rPr>
            </w:pPr>
            <w:r w:rsidRPr="00657B4D">
              <w:rPr>
                <w:rFonts w:eastAsia="Times New Roman" w:cs="Arial"/>
                <w:kern w:val="0"/>
                <w:sz w:val="20"/>
                <w:szCs w:val="20"/>
                <w:lang w:eastAsia="en-GB"/>
                <w14:ligatures w14:val="none"/>
              </w:rPr>
              <w:t>£2.4</w:t>
            </w:r>
            <w:r>
              <w:rPr>
                <w:rFonts w:eastAsia="Times New Roman" w:cs="Arial"/>
                <w:kern w:val="0"/>
                <w:sz w:val="20"/>
                <w:szCs w:val="20"/>
                <w:lang w:eastAsia="en-GB"/>
                <w14:ligatures w14:val="none"/>
              </w:rPr>
              <w:t>00</w:t>
            </w:r>
          </w:p>
        </w:tc>
        <w:tc>
          <w:tcPr>
            <w:tcW w:w="1484" w:type="dxa"/>
            <w:noWrap/>
          </w:tcPr>
          <w:p w14:paraId="5F0CA0A1" w14:textId="31077B7B"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As above</w:t>
            </w:r>
          </w:p>
        </w:tc>
        <w:tc>
          <w:tcPr>
            <w:tcW w:w="2410" w:type="dxa"/>
            <w:noWrap/>
          </w:tcPr>
          <w:p w14:paraId="027B3275" w14:textId="0718DD9A"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As above</w:t>
            </w:r>
          </w:p>
        </w:tc>
        <w:tc>
          <w:tcPr>
            <w:tcW w:w="2801" w:type="dxa"/>
          </w:tcPr>
          <w:p w14:paraId="7F06B4B6" w14:textId="5FFA0E19"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 xml:space="preserve">Redetermination </w:t>
            </w:r>
          </w:p>
        </w:tc>
      </w:tr>
      <w:tr w:rsidR="00657B4D" w:rsidRPr="00FF75E3" w14:paraId="682005D2" w14:textId="77777777" w:rsidTr="00A90724">
        <w:trPr>
          <w:trHeight w:val="600"/>
        </w:trPr>
        <w:tc>
          <w:tcPr>
            <w:tcW w:w="1675" w:type="dxa"/>
          </w:tcPr>
          <w:p w14:paraId="2785CE5E" w14:textId="77777777"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Free Personal and Nursing Care uplifts</w:t>
            </w:r>
          </w:p>
        </w:tc>
        <w:tc>
          <w:tcPr>
            <w:tcW w:w="1548" w:type="dxa"/>
          </w:tcPr>
          <w:p w14:paraId="534AB3DB" w14:textId="77777777" w:rsidR="00657B4D" w:rsidRPr="00FF75E3" w:rsidRDefault="00657B4D" w:rsidP="00657B4D">
            <w:pPr>
              <w:jc w:val="right"/>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£7.000</w:t>
            </w:r>
          </w:p>
        </w:tc>
        <w:tc>
          <w:tcPr>
            <w:tcW w:w="1484" w:type="dxa"/>
            <w:noWrap/>
          </w:tcPr>
          <w:p w14:paraId="73E2ABE0" w14:textId="77777777"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Social Work</w:t>
            </w:r>
          </w:p>
        </w:tc>
        <w:tc>
          <w:tcPr>
            <w:tcW w:w="2410" w:type="dxa"/>
          </w:tcPr>
          <w:p w14:paraId="59E8AFFA" w14:textId="77777777"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Personal and Nursing Care for Older People</w:t>
            </w:r>
            <w:r w:rsidRPr="00FF75E3">
              <w:rPr>
                <w:rStyle w:val="FootnoteReference"/>
                <w:rFonts w:eastAsia="Times New Roman" w:cs="Arial"/>
                <w:color w:val="000000"/>
                <w:kern w:val="0"/>
                <w:sz w:val="20"/>
                <w:szCs w:val="20"/>
                <w:lang w:eastAsia="en-GB"/>
                <w14:ligatures w14:val="none"/>
              </w:rPr>
              <w:footnoteReference w:id="19"/>
            </w:r>
          </w:p>
        </w:tc>
        <w:tc>
          <w:tcPr>
            <w:tcW w:w="2801" w:type="dxa"/>
          </w:tcPr>
          <w:p w14:paraId="4EB3F08C" w14:textId="77777777"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The £7M is not in the recent GAE Green Book, which also shifts 60% of FPNC GAE to Home-Based Elderly</w:t>
            </w:r>
          </w:p>
        </w:tc>
      </w:tr>
      <w:tr w:rsidR="00A90724" w:rsidRPr="00FF75E3" w14:paraId="0086F55D" w14:textId="77777777" w:rsidTr="00A90724">
        <w:trPr>
          <w:trHeight w:val="759"/>
        </w:trPr>
        <w:tc>
          <w:tcPr>
            <w:tcW w:w="1675" w:type="dxa"/>
          </w:tcPr>
          <w:p w14:paraId="55D439BF" w14:textId="726A6887" w:rsidR="00A90724" w:rsidRPr="00FF75E3" w:rsidRDefault="00A90724" w:rsidP="00657B4D">
            <w:pPr>
              <w:rPr>
                <w:rFonts w:eastAsia="Times New Roman" w:cs="Arial"/>
                <w:color w:val="000000"/>
                <w:kern w:val="0"/>
                <w:sz w:val="20"/>
                <w:szCs w:val="20"/>
                <w:lang w:eastAsia="en-GB"/>
                <w14:ligatures w14:val="none"/>
              </w:rPr>
            </w:pPr>
            <w:r w:rsidRPr="00575A8D">
              <w:rPr>
                <w:rFonts w:eastAsia="Times New Roman" w:cs="Arial"/>
                <w:color w:val="000000"/>
                <w:kern w:val="0"/>
                <w:sz w:val="20"/>
                <w:szCs w:val="20"/>
                <w:lang w:eastAsia="en-GB"/>
                <w14:ligatures w14:val="none"/>
              </w:rPr>
              <w:t>Care Leaver Payments</w:t>
            </w:r>
          </w:p>
        </w:tc>
        <w:tc>
          <w:tcPr>
            <w:tcW w:w="1548" w:type="dxa"/>
          </w:tcPr>
          <w:p w14:paraId="49B841C8" w14:textId="6595F242" w:rsidR="00A90724" w:rsidRPr="00657B4D" w:rsidRDefault="00A90724" w:rsidP="00657B4D">
            <w:pPr>
              <w:jc w:val="right"/>
              <w:rPr>
                <w:rFonts w:eastAsia="Times New Roman" w:cs="Arial"/>
                <w:color w:val="000000"/>
                <w:kern w:val="0"/>
                <w:sz w:val="20"/>
                <w:szCs w:val="20"/>
                <w:lang w:eastAsia="en-GB"/>
                <w14:ligatures w14:val="none"/>
              </w:rPr>
            </w:pPr>
            <w:r w:rsidRPr="00657B4D">
              <w:rPr>
                <w:rFonts w:eastAsia="Times New Roman"/>
                <w:color w:val="000000"/>
                <w:kern w:val="0"/>
                <w:sz w:val="20"/>
                <w:szCs w:val="20"/>
                <w:lang w:eastAsia="en-GB"/>
                <w14:ligatures w14:val="none"/>
              </w:rPr>
              <w:t>£3.808</w:t>
            </w:r>
          </w:p>
        </w:tc>
        <w:tc>
          <w:tcPr>
            <w:tcW w:w="1484" w:type="dxa"/>
            <w:noWrap/>
          </w:tcPr>
          <w:p w14:paraId="3CC076FD" w14:textId="462607AA" w:rsidR="00A90724" w:rsidRPr="00FF75E3" w:rsidRDefault="00A90724"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Social Work</w:t>
            </w:r>
          </w:p>
        </w:tc>
        <w:tc>
          <w:tcPr>
            <w:tcW w:w="2410" w:type="dxa"/>
            <w:noWrap/>
          </w:tcPr>
          <w:p w14:paraId="3EA19FE0" w14:textId="6DC7FEA0" w:rsidR="00A90724" w:rsidRPr="00FF75E3" w:rsidRDefault="00A90724" w:rsidP="00A90724">
            <w:pPr>
              <w:rPr>
                <w:rFonts w:eastAsia="Times New Roman" w:cs="Arial"/>
                <w:color w:val="000000"/>
                <w:kern w:val="0"/>
                <w:sz w:val="20"/>
                <w:szCs w:val="20"/>
                <w:lang w:eastAsia="en-GB"/>
                <w14:ligatures w14:val="none"/>
              </w:rPr>
            </w:pPr>
            <w:r w:rsidRPr="00A90724">
              <w:rPr>
                <w:rFonts w:eastAsia="Times New Roman" w:cs="Arial"/>
                <w:color w:val="000000"/>
                <w:kern w:val="0"/>
                <w:sz w:val="20"/>
                <w:szCs w:val="20"/>
                <w:lang w:eastAsia="en-GB"/>
                <w14:ligatures w14:val="none"/>
              </w:rPr>
              <w:t xml:space="preserve">Casework and related admin </w:t>
            </w:r>
            <w:r>
              <w:rPr>
                <w:rFonts w:eastAsia="Times New Roman" w:cs="Arial"/>
                <w:color w:val="000000"/>
                <w:kern w:val="0"/>
                <w:sz w:val="20"/>
                <w:szCs w:val="20"/>
                <w:lang w:eastAsia="en-GB"/>
                <w14:ligatures w14:val="none"/>
              </w:rPr>
              <w:t>–</w:t>
            </w:r>
            <w:r w:rsidRPr="00A90724">
              <w:rPr>
                <w:rFonts w:eastAsia="Times New Roman" w:cs="Arial"/>
                <w:color w:val="000000"/>
                <w:kern w:val="0"/>
                <w:sz w:val="20"/>
                <w:szCs w:val="20"/>
                <w:lang w:eastAsia="en-GB"/>
                <w14:ligatures w14:val="none"/>
              </w:rPr>
              <w:t xml:space="preserve"> Children</w:t>
            </w:r>
            <w:r>
              <w:rPr>
                <w:rFonts w:eastAsia="Times New Roman" w:cs="Arial"/>
                <w:color w:val="000000"/>
                <w:kern w:val="0"/>
                <w:sz w:val="20"/>
                <w:szCs w:val="20"/>
                <w:lang w:eastAsia="en-GB"/>
                <w14:ligatures w14:val="none"/>
              </w:rPr>
              <w:t xml:space="preserve"> [</w:t>
            </w:r>
            <w:r w:rsidRPr="00A90724">
              <w:rPr>
                <w:rFonts w:eastAsia="Times New Roman" w:cs="Arial"/>
                <w:i/>
                <w:iCs/>
                <w:color w:val="000000"/>
                <w:kern w:val="0"/>
                <w:sz w:val="20"/>
                <w:szCs w:val="20"/>
                <w:lang w:eastAsia="en-GB"/>
                <w14:ligatures w14:val="none"/>
              </w:rPr>
              <w:t>Provisional – SWS best estimate</w:t>
            </w:r>
            <w:r>
              <w:rPr>
                <w:rFonts w:eastAsia="Times New Roman" w:cs="Arial"/>
                <w:color w:val="000000"/>
                <w:kern w:val="0"/>
                <w:sz w:val="20"/>
                <w:szCs w:val="20"/>
                <w:lang w:eastAsia="en-GB"/>
                <w14:ligatures w14:val="none"/>
              </w:rPr>
              <w:t>]</w:t>
            </w:r>
          </w:p>
        </w:tc>
        <w:tc>
          <w:tcPr>
            <w:tcW w:w="2801" w:type="dxa"/>
            <w:vMerge w:val="restart"/>
            <w:vAlign w:val="center"/>
          </w:tcPr>
          <w:p w14:paraId="597F37A7" w14:textId="75339479" w:rsidR="00A90724" w:rsidRDefault="00A90724" w:rsidP="00A90724">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 xml:space="preserve">To be decided by the </w:t>
            </w:r>
            <w:r w:rsidRPr="00A90724">
              <w:rPr>
                <w:rFonts w:eastAsia="Times New Roman" w:cs="Arial"/>
                <w:color w:val="000000"/>
                <w:kern w:val="0"/>
                <w:sz w:val="20"/>
                <w:szCs w:val="20"/>
                <w:lang w:eastAsia="en-GB"/>
                <w14:ligatures w14:val="none"/>
              </w:rPr>
              <w:t>S</w:t>
            </w:r>
            <w:r>
              <w:rPr>
                <w:rFonts w:eastAsia="Times New Roman" w:cs="Arial"/>
                <w:color w:val="000000"/>
                <w:kern w:val="0"/>
                <w:sz w:val="20"/>
                <w:szCs w:val="20"/>
                <w:lang w:eastAsia="en-GB"/>
                <w14:ligatures w14:val="none"/>
              </w:rPr>
              <w:t>G/</w:t>
            </w:r>
            <w:r w:rsidRPr="00A90724">
              <w:rPr>
                <w:rFonts w:eastAsia="Times New Roman" w:cs="Arial"/>
                <w:color w:val="000000"/>
                <w:kern w:val="0"/>
                <w:sz w:val="20"/>
                <w:szCs w:val="20"/>
                <w:lang w:eastAsia="en-GB"/>
                <w14:ligatures w14:val="none"/>
              </w:rPr>
              <w:t>COSLA Settlement and Distribution Group</w:t>
            </w:r>
            <w:r>
              <w:rPr>
                <w:rFonts w:eastAsia="Times New Roman" w:cs="Arial"/>
                <w:color w:val="000000"/>
                <w:kern w:val="0"/>
                <w:sz w:val="20"/>
                <w:szCs w:val="20"/>
                <w:lang w:eastAsia="en-GB"/>
                <w14:ligatures w14:val="none"/>
              </w:rPr>
              <w:t xml:space="preserve">. </w:t>
            </w:r>
          </w:p>
        </w:tc>
      </w:tr>
      <w:tr w:rsidR="00A90724" w:rsidRPr="00FF75E3" w14:paraId="67830F1A" w14:textId="77777777" w:rsidTr="00A90724">
        <w:trPr>
          <w:trHeight w:val="900"/>
        </w:trPr>
        <w:tc>
          <w:tcPr>
            <w:tcW w:w="1675" w:type="dxa"/>
          </w:tcPr>
          <w:p w14:paraId="7EE29668" w14:textId="716018B6" w:rsidR="00A90724" w:rsidRPr="00575A8D" w:rsidRDefault="00A90724" w:rsidP="00657B4D">
            <w:pPr>
              <w:rPr>
                <w:rFonts w:eastAsia="Times New Roman" w:cs="Arial"/>
                <w:color w:val="000000"/>
                <w:kern w:val="0"/>
                <w:sz w:val="20"/>
                <w:szCs w:val="20"/>
                <w:lang w:eastAsia="en-GB"/>
                <w14:ligatures w14:val="none"/>
              </w:rPr>
            </w:pPr>
            <w:r w:rsidRPr="00575A8D">
              <w:rPr>
                <w:rFonts w:eastAsia="Times New Roman"/>
                <w:color w:val="000000"/>
                <w:kern w:val="0"/>
                <w:sz w:val="20"/>
                <w:szCs w:val="20"/>
                <w:lang w:eastAsia="en-GB"/>
                <w14:ligatures w14:val="none"/>
              </w:rPr>
              <w:t>Children Care &amp; Justice (Scotland) Act</w:t>
            </w:r>
          </w:p>
        </w:tc>
        <w:tc>
          <w:tcPr>
            <w:tcW w:w="1548" w:type="dxa"/>
          </w:tcPr>
          <w:p w14:paraId="55B0FF87" w14:textId="1BE6C687" w:rsidR="00A90724" w:rsidRPr="00FF75E3" w:rsidRDefault="00A90724" w:rsidP="00657B4D">
            <w:pPr>
              <w:ind w:left="720"/>
              <w:rPr>
                <w:rFonts w:eastAsia="Times New Roman" w:cs="Arial"/>
                <w:color w:val="000000"/>
                <w:kern w:val="0"/>
                <w:sz w:val="20"/>
                <w:szCs w:val="20"/>
                <w:lang w:eastAsia="en-GB"/>
                <w14:ligatures w14:val="none"/>
              </w:rPr>
            </w:pPr>
            <w:r w:rsidRPr="00657B4D">
              <w:rPr>
                <w:rFonts w:eastAsia="Times New Roman"/>
                <w:color w:val="000000"/>
                <w:kern w:val="0"/>
                <w:sz w:val="20"/>
                <w:szCs w:val="20"/>
                <w:lang w:eastAsia="en-GB"/>
                <w14:ligatures w14:val="none"/>
              </w:rPr>
              <w:t>£3.500</w:t>
            </w:r>
          </w:p>
        </w:tc>
        <w:tc>
          <w:tcPr>
            <w:tcW w:w="1484" w:type="dxa"/>
            <w:noWrap/>
          </w:tcPr>
          <w:p w14:paraId="0247BFAE" w14:textId="3C00D681" w:rsidR="00A90724" w:rsidRPr="00FF75E3" w:rsidRDefault="00A90724"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Social Work</w:t>
            </w:r>
          </w:p>
        </w:tc>
        <w:tc>
          <w:tcPr>
            <w:tcW w:w="2410" w:type="dxa"/>
            <w:noWrap/>
          </w:tcPr>
          <w:p w14:paraId="15911D54" w14:textId="7DE54B56" w:rsidR="00A90724" w:rsidRPr="00FF75E3" w:rsidRDefault="00A90724"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Changing Children’s Services Development Fund</w:t>
            </w:r>
            <w:r>
              <w:rPr>
                <w:rFonts w:eastAsia="Times New Roman" w:cs="Arial"/>
                <w:color w:val="000000"/>
                <w:kern w:val="0"/>
                <w:sz w:val="20"/>
                <w:szCs w:val="20"/>
                <w:lang w:eastAsia="en-GB"/>
                <w14:ligatures w14:val="none"/>
              </w:rPr>
              <w:t xml:space="preserve"> [</w:t>
            </w:r>
            <w:r w:rsidRPr="00A90724">
              <w:rPr>
                <w:rFonts w:eastAsia="Times New Roman" w:cs="Arial"/>
                <w:i/>
                <w:iCs/>
                <w:color w:val="000000"/>
                <w:kern w:val="0"/>
                <w:sz w:val="20"/>
                <w:szCs w:val="20"/>
                <w:lang w:eastAsia="en-GB"/>
                <w14:ligatures w14:val="none"/>
              </w:rPr>
              <w:t>Provisional – SWS best estimate</w:t>
            </w:r>
            <w:r>
              <w:rPr>
                <w:rFonts w:eastAsia="Times New Roman" w:cs="Arial"/>
                <w:color w:val="000000"/>
                <w:kern w:val="0"/>
                <w:sz w:val="20"/>
                <w:szCs w:val="20"/>
                <w:lang w:eastAsia="en-GB"/>
                <w14:ligatures w14:val="none"/>
              </w:rPr>
              <w:t>]</w:t>
            </w:r>
          </w:p>
        </w:tc>
        <w:tc>
          <w:tcPr>
            <w:tcW w:w="2801" w:type="dxa"/>
            <w:vMerge/>
          </w:tcPr>
          <w:p w14:paraId="7B1ECBF2" w14:textId="77777777" w:rsidR="00A90724" w:rsidRDefault="00A90724" w:rsidP="00657B4D">
            <w:pPr>
              <w:rPr>
                <w:rFonts w:eastAsia="Times New Roman" w:cs="Arial"/>
                <w:color w:val="000000"/>
                <w:kern w:val="0"/>
                <w:sz w:val="20"/>
                <w:szCs w:val="20"/>
                <w:lang w:eastAsia="en-GB"/>
                <w14:ligatures w14:val="none"/>
              </w:rPr>
            </w:pPr>
          </w:p>
        </w:tc>
      </w:tr>
      <w:tr w:rsidR="00657B4D" w:rsidRPr="00FF75E3" w14:paraId="6E2D3F01" w14:textId="3F4FADC4" w:rsidTr="00A90724">
        <w:trPr>
          <w:trHeight w:val="743"/>
        </w:trPr>
        <w:tc>
          <w:tcPr>
            <w:tcW w:w="1675" w:type="dxa"/>
          </w:tcPr>
          <w:p w14:paraId="2D0293AF" w14:textId="4AA867AB"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Whole Family Wellbeing Fund</w:t>
            </w:r>
          </w:p>
        </w:tc>
        <w:tc>
          <w:tcPr>
            <w:tcW w:w="1548" w:type="dxa"/>
          </w:tcPr>
          <w:p w14:paraId="56E8686E" w14:textId="24852001" w:rsidR="00657B4D" w:rsidRPr="00FF75E3" w:rsidRDefault="00657B4D" w:rsidP="00657B4D">
            <w:pPr>
              <w:jc w:val="right"/>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£5.900</w:t>
            </w:r>
          </w:p>
        </w:tc>
        <w:tc>
          <w:tcPr>
            <w:tcW w:w="1484" w:type="dxa"/>
            <w:noWrap/>
          </w:tcPr>
          <w:p w14:paraId="2CFB2538" w14:textId="72B74F68"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Miscellaneous</w:t>
            </w:r>
          </w:p>
        </w:tc>
        <w:tc>
          <w:tcPr>
            <w:tcW w:w="2410" w:type="dxa"/>
            <w:noWrap/>
          </w:tcPr>
          <w:p w14:paraId="39CFA658" w14:textId="591F6C4A" w:rsidR="00657B4D" w:rsidRPr="00FF75E3" w:rsidRDefault="00657B4D"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Whole Family Wellbeing Fund [in Miscellaneous GAE]</w:t>
            </w:r>
          </w:p>
        </w:tc>
        <w:tc>
          <w:tcPr>
            <w:tcW w:w="2801" w:type="dxa"/>
          </w:tcPr>
          <w:p w14:paraId="6ECA1796" w14:textId="29224145" w:rsidR="00657B4D" w:rsidRPr="00FF75E3" w:rsidRDefault="00657B4D"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£5.9M increase as per Scottish Budget, but not in the latest Green Book</w:t>
            </w:r>
            <w:r w:rsidR="009676F1">
              <w:rPr>
                <w:rFonts w:eastAsia="Times New Roman" w:cs="Arial"/>
                <w:color w:val="000000"/>
                <w:kern w:val="0"/>
                <w:sz w:val="20"/>
                <w:szCs w:val="20"/>
                <w:lang w:eastAsia="en-GB"/>
                <w14:ligatures w14:val="none"/>
              </w:rPr>
              <w:t>; baseline GAEs for WFWB have been used.</w:t>
            </w:r>
          </w:p>
        </w:tc>
      </w:tr>
      <w:tr w:rsidR="00657B4D" w:rsidRPr="00FF75E3" w14:paraId="566DC877" w14:textId="77777777" w:rsidTr="00A90724">
        <w:trPr>
          <w:trHeight w:val="900"/>
        </w:trPr>
        <w:tc>
          <w:tcPr>
            <w:tcW w:w="1675" w:type="dxa"/>
          </w:tcPr>
          <w:p w14:paraId="49A9DD72" w14:textId="4C82A23A" w:rsidR="00657B4D" w:rsidRPr="00FF75E3" w:rsidRDefault="009676F1"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 xml:space="preserve">Justice Social </w:t>
            </w:r>
            <w:proofErr w:type="spellStart"/>
            <w:r>
              <w:rPr>
                <w:rFonts w:eastAsia="Times New Roman" w:cs="Arial"/>
                <w:color w:val="000000"/>
                <w:kern w:val="0"/>
                <w:sz w:val="20"/>
                <w:szCs w:val="20"/>
                <w:lang w:eastAsia="en-GB"/>
                <w14:ligatures w14:val="none"/>
              </w:rPr>
              <w:t>Social</w:t>
            </w:r>
            <w:proofErr w:type="spellEnd"/>
            <w:r>
              <w:rPr>
                <w:rFonts w:eastAsia="Times New Roman" w:cs="Arial"/>
                <w:color w:val="000000"/>
                <w:kern w:val="0"/>
                <w:sz w:val="20"/>
                <w:szCs w:val="20"/>
                <w:lang w:eastAsia="en-GB"/>
                <w14:ligatures w14:val="none"/>
              </w:rPr>
              <w:t xml:space="preserve"> Work</w:t>
            </w:r>
          </w:p>
        </w:tc>
        <w:tc>
          <w:tcPr>
            <w:tcW w:w="1548" w:type="dxa"/>
          </w:tcPr>
          <w:p w14:paraId="14A13A6E" w14:textId="037AE43C" w:rsidR="00657B4D" w:rsidRPr="00FF75E3" w:rsidRDefault="009676F1" w:rsidP="00657B4D">
            <w:pPr>
              <w:jc w:val="right"/>
              <w:rPr>
                <w:rFonts w:eastAsia="Times New Roman" w:cs="Arial"/>
                <w:color w:val="000000"/>
                <w:kern w:val="0"/>
                <w:sz w:val="20"/>
                <w:szCs w:val="20"/>
                <w:lang w:eastAsia="en-GB"/>
                <w14:ligatures w14:val="none"/>
              </w:rPr>
            </w:pPr>
            <w:r w:rsidRPr="00B14C02">
              <w:rPr>
                <w:rFonts w:eastAsia="Times New Roman" w:cs="Arial"/>
                <w:color w:val="000000"/>
                <w:kern w:val="0"/>
                <w:sz w:val="20"/>
                <w:szCs w:val="20"/>
                <w:lang w:eastAsia="en-GB"/>
                <w14:ligatures w14:val="none"/>
              </w:rPr>
              <w:t>£6.</w:t>
            </w:r>
            <w:r w:rsidR="00E61762">
              <w:rPr>
                <w:rFonts w:eastAsia="Times New Roman" w:cs="Arial"/>
                <w:color w:val="000000"/>
                <w:kern w:val="0"/>
                <w:sz w:val="20"/>
                <w:szCs w:val="20"/>
                <w:lang w:eastAsia="en-GB"/>
                <w14:ligatures w14:val="none"/>
              </w:rPr>
              <w:t>329</w:t>
            </w:r>
            <w:r w:rsidR="009D5F41">
              <w:rPr>
                <w:rFonts w:eastAsia="Times New Roman" w:cs="Arial"/>
                <w:color w:val="000000"/>
                <w:kern w:val="0"/>
                <w:sz w:val="20"/>
                <w:szCs w:val="20"/>
                <w:lang w:eastAsia="en-GB"/>
                <w14:ligatures w14:val="none"/>
              </w:rPr>
              <w:t>1</w:t>
            </w:r>
          </w:p>
        </w:tc>
        <w:tc>
          <w:tcPr>
            <w:tcW w:w="1484" w:type="dxa"/>
            <w:noWrap/>
          </w:tcPr>
          <w:p w14:paraId="084B438A" w14:textId="2B87FBA7" w:rsidR="00657B4D" w:rsidRPr="00FF75E3" w:rsidRDefault="000A5022" w:rsidP="00657B4D">
            <w:pPr>
              <w:rPr>
                <w:rFonts w:eastAsia="Times New Roman" w:cs="Arial"/>
                <w:color w:val="000000"/>
                <w:kern w:val="0"/>
                <w:sz w:val="20"/>
                <w:szCs w:val="20"/>
                <w:lang w:eastAsia="en-GB"/>
                <w14:ligatures w14:val="none"/>
              </w:rPr>
            </w:pPr>
            <w:r w:rsidRPr="00FF75E3">
              <w:rPr>
                <w:rFonts w:eastAsia="Times New Roman" w:cs="Arial"/>
                <w:color w:val="000000"/>
                <w:kern w:val="0"/>
                <w:sz w:val="20"/>
                <w:szCs w:val="20"/>
                <w:lang w:eastAsia="en-GB"/>
                <w14:ligatures w14:val="none"/>
              </w:rPr>
              <w:t>Social Work</w:t>
            </w:r>
          </w:p>
        </w:tc>
        <w:tc>
          <w:tcPr>
            <w:tcW w:w="2410" w:type="dxa"/>
            <w:noWrap/>
          </w:tcPr>
          <w:p w14:paraId="4A6AB3BD" w14:textId="417BF944" w:rsidR="00657B4D" w:rsidRPr="00FF75E3" w:rsidRDefault="000A5022" w:rsidP="00657B4D">
            <w:pPr>
              <w:rPr>
                <w:rFonts w:eastAsia="Times New Roman" w:cs="Arial"/>
                <w:color w:val="000000"/>
                <w:kern w:val="0"/>
                <w:sz w:val="20"/>
                <w:szCs w:val="20"/>
                <w:lang w:eastAsia="en-GB"/>
                <w14:ligatures w14:val="none"/>
              </w:rPr>
            </w:pPr>
            <w:r>
              <w:rPr>
                <w:rFonts w:eastAsia="Times New Roman" w:cs="Arial"/>
                <w:color w:val="000000"/>
                <w:kern w:val="0"/>
                <w:sz w:val="20"/>
                <w:szCs w:val="20"/>
                <w:lang w:eastAsia="en-GB"/>
                <w14:ligatures w14:val="none"/>
              </w:rPr>
              <w:t>Justice Social Work GAE</w:t>
            </w:r>
          </w:p>
        </w:tc>
        <w:tc>
          <w:tcPr>
            <w:tcW w:w="2801" w:type="dxa"/>
          </w:tcPr>
          <w:p w14:paraId="7A7E32BF" w14:textId="037776EB" w:rsidR="00657B4D" w:rsidRPr="000A5022" w:rsidRDefault="000A5022" w:rsidP="00657B4D">
            <w:pPr>
              <w:rPr>
                <w:rFonts w:eastAsia="Times New Roman" w:cs="Arial"/>
                <w:color w:val="000000"/>
                <w:kern w:val="0"/>
                <w:sz w:val="20"/>
                <w:szCs w:val="20"/>
                <w:lang w:eastAsia="en-GB"/>
                <w14:ligatures w14:val="none"/>
              </w:rPr>
            </w:pPr>
            <w:r w:rsidRPr="000A5022">
              <w:rPr>
                <w:rFonts w:eastAsia="Times New Roman" w:cs="Arial"/>
                <w:color w:val="000000"/>
                <w:kern w:val="0"/>
                <w:sz w:val="20"/>
                <w:szCs w:val="20"/>
                <w:lang w:eastAsia="en-GB"/>
                <w14:ligatures w14:val="none"/>
              </w:rPr>
              <w:t xml:space="preserve">Pro rate to main Section 27 funding formula for the </w:t>
            </w:r>
            <w:r w:rsidRPr="000A5022">
              <w:rPr>
                <w:sz w:val="20"/>
                <w:szCs w:val="20"/>
              </w:rPr>
              <w:t>£86.45M main JSW grant in the Green Book</w:t>
            </w:r>
          </w:p>
        </w:tc>
      </w:tr>
    </w:tbl>
    <w:p w14:paraId="2278DC59" w14:textId="77777777" w:rsidR="00565F14" w:rsidRDefault="00565F14"/>
    <w:p w14:paraId="1A5BE57B" w14:textId="1E67F49E" w:rsidR="00247698" w:rsidRPr="00CB2CDC" w:rsidRDefault="009D5F41">
      <w:r w:rsidRPr="00CB2CDC">
        <w:t>In the earlier Briefing</w:t>
      </w:r>
      <w:r w:rsidRPr="00CB2CDC">
        <w:rPr>
          <w:rStyle w:val="FootnoteReference"/>
        </w:rPr>
        <w:footnoteReference w:id="20"/>
      </w:r>
      <w:r w:rsidR="009B29E8" w:rsidRPr="00CB2CDC">
        <w:t xml:space="preserve"> on the provisional Local Government settlement we </w:t>
      </w:r>
      <w:r w:rsidR="00247698" w:rsidRPr="00CB2CDC">
        <w:t>also provided distributions for the “additional General Revenue Grant of £253.9 million to support local priorities” determined by councils</w:t>
      </w:r>
      <w:r w:rsidR="00CB2CDC">
        <w:rPr>
          <w:rStyle w:val="FootnoteReference"/>
        </w:rPr>
        <w:footnoteReference w:id="21"/>
      </w:r>
      <w:r w:rsidR="00CB2CDC">
        <w:t xml:space="preserve"> (as identified in paragraph</w:t>
      </w:r>
      <w:r w:rsidR="009B29E8" w:rsidRPr="00CB2CDC">
        <w:t xml:space="preserve">.  Of course, councils may or may not choose to spend some of the monies on social work and social care.  </w:t>
      </w:r>
      <w:r w:rsidR="0098544C">
        <w:t>In Table A3 w</w:t>
      </w:r>
      <w:r w:rsidR="009B29E8" w:rsidRPr="00CB2CDC">
        <w:t xml:space="preserve">e have updated the allocations to councils basing them on the </w:t>
      </w:r>
      <w:r w:rsidR="00806229" w:rsidRPr="00CB2CDC">
        <w:t xml:space="preserve">percentage distributions of </w:t>
      </w:r>
      <w:r w:rsidR="00247698" w:rsidRPr="00CB2CDC">
        <w:t xml:space="preserve">2026-27 “revised </w:t>
      </w:r>
      <w:r w:rsidR="00BB1C0F" w:rsidRPr="00CB2CDC">
        <w:t>total individual revenue allocations” in column 12 of Annex B of the Local Government Finance Circular 1/2026.</w:t>
      </w:r>
    </w:p>
    <w:p w14:paraId="126A54D0" w14:textId="77777777" w:rsidR="00966A98" w:rsidRPr="00CB2CDC" w:rsidRDefault="00966A98"/>
    <w:p w14:paraId="7CAE3AA5" w14:textId="287D479A" w:rsidR="00912863" w:rsidRDefault="00912863">
      <w:r>
        <w:br w:type="page"/>
      </w:r>
    </w:p>
    <w:p w14:paraId="0527388D" w14:textId="77777777" w:rsidR="005B7233" w:rsidRDefault="005B7233">
      <w:pPr>
        <w:rPr>
          <w:b/>
          <w:bCs/>
          <w:sz w:val="24"/>
          <w:szCs w:val="24"/>
        </w:rPr>
        <w:sectPr w:rsidR="005B7233" w:rsidSect="0055744D">
          <w:footerReference w:type="default" r:id="rId10"/>
          <w:pgSz w:w="11906" w:h="16838" w:code="9"/>
          <w:pgMar w:top="1134" w:right="1134" w:bottom="1134" w:left="1134" w:header="709" w:footer="709" w:gutter="0"/>
          <w:cols w:space="708"/>
          <w:docGrid w:linePitch="360"/>
        </w:sectPr>
      </w:pPr>
    </w:p>
    <w:p w14:paraId="0D106646" w14:textId="10CD9FD0" w:rsidR="00BB1C0F" w:rsidRPr="00806229" w:rsidRDefault="00CF2840">
      <w:pPr>
        <w:rPr>
          <w:b/>
          <w:bCs/>
          <w:sz w:val="24"/>
          <w:szCs w:val="24"/>
        </w:rPr>
      </w:pPr>
      <w:r w:rsidRPr="00806229">
        <w:rPr>
          <w:b/>
          <w:bCs/>
          <w:sz w:val="24"/>
          <w:szCs w:val="24"/>
        </w:rPr>
        <w:lastRenderedPageBreak/>
        <w:t>Estimated local authority shares of 202</w:t>
      </w:r>
      <w:r w:rsidR="00BB1C0F" w:rsidRPr="00806229">
        <w:rPr>
          <w:b/>
          <w:bCs/>
          <w:sz w:val="24"/>
          <w:szCs w:val="24"/>
        </w:rPr>
        <w:t>6</w:t>
      </w:r>
      <w:r w:rsidRPr="00806229">
        <w:rPr>
          <w:b/>
          <w:bCs/>
          <w:sz w:val="24"/>
          <w:szCs w:val="24"/>
        </w:rPr>
        <w:t>-2</w:t>
      </w:r>
      <w:r w:rsidR="00BB1C0F" w:rsidRPr="00806229">
        <w:rPr>
          <w:b/>
          <w:bCs/>
          <w:sz w:val="24"/>
          <w:szCs w:val="24"/>
        </w:rPr>
        <w:t>7</w:t>
      </w:r>
      <w:r w:rsidR="00FD61BA" w:rsidRPr="00806229">
        <w:rPr>
          <w:b/>
          <w:bCs/>
          <w:sz w:val="24"/>
          <w:szCs w:val="24"/>
        </w:rPr>
        <w:t xml:space="preserve"> </w:t>
      </w:r>
      <w:r w:rsidR="000C681A">
        <w:rPr>
          <w:b/>
          <w:bCs/>
          <w:sz w:val="24"/>
          <w:szCs w:val="24"/>
        </w:rPr>
        <w:t xml:space="preserve">social care and adjacent </w:t>
      </w:r>
      <w:r w:rsidR="00FD61BA" w:rsidRPr="00806229">
        <w:rPr>
          <w:b/>
          <w:bCs/>
          <w:sz w:val="24"/>
          <w:szCs w:val="24"/>
        </w:rPr>
        <w:t>increases</w:t>
      </w:r>
      <w:r w:rsidR="00BB1C0F" w:rsidRPr="00806229">
        <w:rPr>
          <w:b/>
          <w:bCs/>
          <w:sz w:val="24"/>
          <w:szCs w:val="24"/>
        </w:rPr>
        <w:t xml:space="preserve"> </w:t>
      </w:r>
    </w:p>
    <w:p w14:paraId="7D4E488F" w14:textId="2C705C10" w:rsidR="00FD61BA" w:rsidRDefault="00FD61BA"/>
    <w:p w14:paraId="68F9F2EC" w14:textId="50F58CDF" w:rsidR="008E58BD" w:rsidRDefault="008B64E2" w:rsidP="008E58BD">
      <w:pPr>
        <w:rPr>
          <w:rFonts w:eastAsia="Times New Roman" w:cs="Arial"/>
          <w:b/>
          <w:bCs/>
          <w:kern w:val="0"/>
          <w:sz w:val="24"/>
          <w:szCs w:val="24"/>
          <w:lang w:eastAsia="en-GB"/>
          <w14:ligatures w14:val="none"/>
        </w:rPr>
      </w:pPr>
      <w:r>
        <w:rPr>
          <w:b/>
          <w:bCs/>
          <w:sz w:val="24"/>
          <w:szCs w:val="24"/>
        </w:rPr>
        <w:t>A</w:t>
      </w:r>
      <w:r w:rsidR="008E58BD" w:rsidRPr="008E58BD">
        <w:rPr>
          <w:b/>
          <w:bCs/>
          <w:sz w:val="24"/>
          <w:szCs w:val="24"/>
        </w:rPr>
        <w:t xml:space="preserve">1: </w:t>
      </w:r>
      <w:r w:rsidR="008E58BD" w:rsidRPr="008E58BD">
        <w:rPr>
          <w:rFonts w:eastAsia="Times New Roman" w:cs="Arial"/>
          <w:b/>
          <w:bCs/>
          <w:kern w:val="0"/>
          <w:sz w:val="24"/>
          <w:szCs w:val="24"/>
          <w:lang w:eastAsia="en-GB"/>
          <w14:ligatures w14:val="none"/>
        </w:rPr>
        <w:t>REAL LIVING WAGE</w:t>
      </w:r>
      <w:r w:rsidR="008E58BD">
        <w:rPr>
          <w:rFonts w:eastAsia="Times New Roman" w:cs="Arial"/>
          <w:b/>
          <w:bCs/>
          <w:kern w:val="0"/>
          <w:sz w:val="24"/>
          <w:szCs w:val="24"/>
          <w:lang w:eastAsia="en-GB"/>
          <w14:ligatures w14:val="none"/>
        </w:rPr>
        <w:t xml:space="preserve"> UPLIFTS</w:t>
      </w:r>
    </w:p>
    <w:p w14:paraId="62B7237F" w14:textId="651D3C93" w:rsidR="00110C1E" w:rsidRPr="00AC2786" w:rsidRDefault="00110C1E" w:rsidP="008E58BD">
      <w:r w:rsidRPr="00AC2786">
        <w:t xml:space="preserve">This shows the RLW uplifts split between the original uplifts for 2026-27 </w:t>
      </w:r>
      <w:r w:rsidR="00AC2786">
        <w:t xml:space="preserve">included in the Local Government Finance Order </w:t>
      </w:r>
      <w:r w:rsidRPr="00AC2786">
        <w:t>and the £20M increase</w:t>
      </w:r>
      <w:r w:rsidR="00AC2786" w:rsidRPr="00AC2786">
        <w:rPr>
          <w:rFonts w:eastAsia="Times New Roman" w:cs="Arial"/>
          <w:kern w:val="0"/>
          <w:lang w:eastAsia="en-GB"/>
          <w14:ligatures w14:val="none"/>
        </w:rPr>
        <w:t xml:space="preserve"> </w:t>
      </w:r>
      <w:r w:rsidR="00AC2786">
        <w:rPr>
          <w:rFonts w:eastAsia="Times New Roman" w:cs="Arial"/>
          <w:kern w:val="0"/>
          <w:lang w:eastAsia="en-GB"/>
          <w14:ligatures w14:val="none"/>
        </w:rPr>
        <w:t xml:space="preserve">agreed by Parliament in the Scottish Budget debate. </w:t>
      </w:r>
      <w:r w:rsidR="00AC2786" w:rsidRPr="00AC2786">
        <w:rPr>
          <w:rFonts w:eastAsia="Times New Roman" w:cs="Arial"/>
          <w:kern w:val="0"/>
          <w:lang w:eastAsia="en-GB"/>
          <w14:ligatures w14:val="none"/>
        </w:rPr>
        <w:t xml:space="preserve">Adults and children’s care </w:t>
      </w:r>
      <w:r w:rsidR="0098544C">
        <w:rPr>
          <w:rFonts w:eastAsia="Times New Roman" w:cs="Arial"/>
          <w:kern w:val="0"/>
          <w:lang w:eastAsia="en-GB"/>
          <w14:ligatures w14:val="none"/>
        </w:rPr>
        <w:t xml:space="preserve">RLW </w:t>
      </w:r>
      <w:r w:rsidR="00AC2786" w:rsidRPr="00AC2786">
        <w:rPr>
          <w:rFonts w:eastAsia="Times New Roman" w:cs="Arial"/>
          <w:kern w:val="0"/>
          <w:lang w:eastAsia="en-GB"/>
          <w14:ligatures w14:val="none"/>
        </w:rPr>
        <w:t xml:space="preserve">totals are </w:t>
      </w:r>
      <w:r w:rsidR="00AC2786" w:rsidRPr="008E58BD">
        <w:rPr>
          <w:rFonts w:eastAsia="Times New Roman" w:cs="Arial"/>
          <w:kern w:val="0"/>
          <w:lang w:eastAsia="en-GB"/>
          <w14:ligatures w14:val="none"/>
        </w:rPr>
        <w:t>on next page</w:t>
      </w:r>
      <w:r w:rsidR="0098544C">
        <w:rPr>
          <w:rFonts w:eastAsia="Times New Roman" w:cs="Arial"/>
          <w:kern w:val="0"/>
          <w:lang w:eastAsia="en-GB"/>
          <w14:ligatures w14:val="none"/>
        </w:rPr>
        <w:t xml:space="preserve"> (Table A2)</w:t>
      </w:r>
      <w:r w:rsidR="00AC2786" w:rsidRPr="00AC2786">
        <w:rPr>
          <w:rFonts w:eastAsia="Times New Roman" w:cs="Arial"/>
          <w:kern w:val="0"/>
          <w:lang w:eastAsia="en-GB"/>
          <w14:ligatures w14:val="none"/>
        </w:rPr>
        <w:t xml:space="preserve">, and the ELC </w:t>
      </w:r>
      <w:r w:rsidR="0098544C">
        <w:rPr>
          <w:rFonts w:eastAsia="Times New Roman" w:cs="Arial"/>
          <w:kern w:val="0"/>
          <w:lang w:eastAsia="en-GB"/>
          <w14:ligatures w14:val="none"/>
        </w:rPr>
        <w:t xml:space="preserve">RLW </w:t>
      </w:r>
      <w:r w:rsidR="00AC2786" w:rsidRPr="00AC2786">
        <w:rPr>
          <w:rFonts w:eastAsia="Times New Roman" w:cs="Arial"/>
          <w:kern w:val="0"/>
          <w:lang w:eastAsia="en-GB"/>
          <w14:ligatures w14:val="none"/>
        </w:rPr>
        <w:t>total is on the following page</w:t>
      </w:r>
      <w:r w:rsidR="0098544C">
        <w:rPr>
          <w:rFonts w:eastAsia="Times New Roman" w:cs="Arial"/>
          <w:kern w:val="0"/>
          <w:lang w:eastAsia="en-GB"/>
          <w14:ligatures w14:val="none"/>
        </w:rPr>
        <w:t xml:space="preserve"> (Table A3)</w:t>
      </w:r>
      <w:r w:rsidR="00AC2786" w:rsidRPr="00AC2786">
        <w:rPr>
          <w:rFonts w:eastAsia="Times New Roman" w:cs="Arial"/>
          <w:kern w:val="0"/>
          <w:lang w:eastAsia="en-GB"/>
          <w14:ligatures w14:val="none"/>
        </w:rPr>
        <w:t>.</w:t>
      </w:r>
    </w:p>
    <w:p w14:paraId="528AD433" w14:textId="26A45E8E" w:rsidR="00110C1E" w:rsidRDefault="00110C1E"/>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02"/>
        <w:gridCol w:w="1103"/>
        <w:gridCol w:w="1102"/>
        <w:gridCol w:w="1103"/>
        <w:gridCol w:w="1102"/>
        <w:gridCol w:w="1103"/>
        <w:gridCol w:w="1134"/>
      </w:tblGrid>
      <w:tr w:rsidR="00B10949" w:rsidRPr="008E58BD" w14:paraId="78C2FA5E" w14:textId="77777777" w:rsidTr="00DD31D3">
        <w:trPr>
          <w:trHeight w:val="192"/>
        </w:trPr>
        <w:tc>
          <w:tcPr>
            <w:tcW w:w="2405" w:type="dxa"/>
            <w:noWrap/>
            <w:vAlign w:val="center"/>
          </w:tcPr>
          <w:p w14:paraId="0F84F5DC" w14:textId="74919846" w:rsidR="00B10949" w:rsidRPr="008E58BD" w:rsidRDefault="00B10949" w:rsidP="00B10949">
            <w:pPr>
              <w:jc w:val="right"/>
              <w:rPr>
                <w:rFonts w:eastAsia="Times New Roman" w:cs="Arial"/>
                <w:kern w:val="0"/>
                <w:sz w:val="21"/>
                <w:szCs w:val="21"/>
                <w:lang w:eastAsia="en-GB"/>
                <w14:ligatures w14:val="none"/>
              </w:rPr>
            </w:pPr>
            <w:r w:rsidRPr="001A6F0F">
              <w:rPr>
                <w:rFonts w:eastAsia="Times New Roman" w:cs="Arial"/>
                <w:b/>
                <w:bCs/>
                <w:color w:val="000000"/>
                <w:kern w:val="0"/>
                <w:sz w:val="21"/>
                <w:szCs w:val="21"/>
                <w:lang w:eastAsia="en-GB"/>
                <w14:ligatures w14:val="none"/>
              </w:rPr>
              <w:t>Green Book section</w:t>
            </w:r>
            <w:r>
              <w:rPr>
                <w:rFonts w:eastAsia="Times New Roman" w:cs="Arial"/>
                <w:b/>
                <w:bCs/>
                <w:color w:val="000000"/>
                <w:kern w:val="0"/>
                <w:sz w:val="20"/>
                <w:szCs w:val="20"/>
                <w:lang w:eastAsia="en-GB"/>
                <w14:ligatures w14:val="none"/>
              </w:rPr>
              <w:t>:</w:t>
            </w:r>
          </w:p>
        </w:tc>
        <w:tc>
          <w:tcPr>
            <w:tcW w:w="4410" w:type="dxa"/>
            <w:gridSpan w:val="4"/>
            <w:vAlign w:val="center"/>
          </w:tcPr>
          <w:p w14:paraId="457E57A3" w14:textId="6C1BD34E" w:rsidR="00B10949" w:rsidRPr="008E58BD" w:rsidRDefault="00B10949" w:rsidP="00110C1E">
            <w:pPr>
              <w:jc w:val="center"/>
              <w:rPr>
                <w:rFonts w:eastAsia="Times New Roman" w:cs="Arial"/>
                <w:kern w:val="0"/>
                <w:sz w:val="21"/>
                <w:szCs w:val="21"/>
                <w:lang w:eastAsia="en-GB"/>
                <w14:ligatures w14:val="none"/>
              </w:rPr>
            </w:pPr>
            <w:r w:rsidRPr="00110C1E">
              <w:rPr>
                <w:rFonts w:eastAsia="Times New Roman" w:cs="Arial"/>
                <w:b/>
                <w:bCs/>
                <w:kern w:val="0"/>
                <w:sz w:val="21"/>
                <w:szCs w:val="21"/>
                <w:lang w:eastAsia="en-GB"/>
                <w14:ligatures w14:val="none"/>
              </w:rPr>
              <w:t>Social Work</w:t>
            </w:r>
          </w:p>
        </w:tc>
        <w:tc>
          <w:tcPr>
            <w:tcW w:w="2205" w:type="dxa"/>
            <w:gridSpan w:val="2"/>
            <w:vAlign w:val="center"/>
          </w:tcPr>
          <w:p w14:paraId="41966D7B" w14:textId="0ACC40C3" w:rsidR="00B10949" w:rsidRPr="008E58BD" w:rsidRDefault="00B10949" w:rsidP="00110C1E">
            <w:pPr>
              <w:jc w:val="center"/>
              <w:rPr>
                <w:rFonts w:eastAsia="Times New Roman" w:cs="Arial"/>
                <w:kern w:val="0"/>
                <w:sz w:val="21"/>
                <w:szCs w:val="21"/>
                <w:lang w:eastAsia="en-GB"/>
                <w14:ligatures w14:val="none"/>
              </w:rPr>
            </w:pPr>
            <w:r w:rsidRPr="00110C1E">
              <w:rPr>
                <w:rFonts w:eastAsia="Times New Roman" w:cs="Arial"/>
                <w:b/>
                <w:bCs/>
                <w:kern w:val="0"/>
                <w:sz w:val="21"/>
                <w:szCs w:val="21"/>
                <w:lang w:eastAsia="en-GB"/>
                <w14:ligatures w14:val="none"/>
              </w:rPr>
              <w:t>Education</w:t>
            </w:r>
          </w:p>
        </w:tc>
        <w:tc>
          <w:tcPr>
            <w:tcW w:w="1134" w:type="dxa"/>
            <w:vAlign w:val="center"/>
          </w:tcPr>
          <w:p w14:paraId="42F2D42F" w14:textId="77777777" w:rsidR="00B10949" w:rsidRPr="008E58BD" w:rsidRDefault="00B10949" w:rsidP="00110C1E">
            <w:pPr>
              <w:jc w:val="center"/>
              <w:rPr>
                <w:rFonts w:eastAsia="Times New Roman" w:cs="Arial"/>
                <w:b/>
                <w:bCs/>
                <w:kern w:val="0"/>
                <w:sz w:val="21"/>
                <w:szCs w:val="21"/>
                <w:lang w:eastAsia="en-GB"/>
                <w14:ligatures w14:val="none"/>
              </w:rPr>
            </w:pPr>
          </w:p>
        </w:tc>
      </w:tr>
      <w:tr w:rsidR="00B10949" w:rsidRPr="008E58BD" w14:paraId="713784A0" w14:textId="77777777" w:rsidTr="001A6F0F">
        <w:trPr>
          <w:trHeight w:val="334"/>
        </w:trPr>
        <w:tc>
          <w:tcPr>
            <w:tcW w:w="2405" w:type="dxa"/>
            <w:noWrap/>
            <w:vAlign w:val="center"/>
          </w:tcPr>
          <w:p w14:paraId="14A5734C" w14:textId="0D5598E7" w:rsidR="00B10949" w:rsidRPr="001A6F0F" w:rsidRDefault="001A6F0F" w:rsidP="001A6F0F">
            <w:pPr>
              <w:jc w:val="right"/>
              <w:rPr>
                <w:rFonts w:eastAsia="Times New Roman" w:cs="Arial"/>
                <w:b/>
                <w:bCs/>
                <w:kern w:val="0"/>
                <w:sz w:val="21"/>
                <w:szCs w:val="21"/>
                <w:lang w:eastAsia="en-GB"/>
                <w14:ligatures w14:val="none"/>
              </w:rPr>
            </w:pPr>
            <w:r w:rsidRPr="001A6F0F">
              <w:rPr>
                <w:rFonts w:eastAsia="Times New Roman" w:cs="Arial"/>
                <w:b/>
                <w:bCs/>
                <w:kern w:val="0"/>
                <w:sz w:val="21"/>
                <w:szCs w:val="21"/>
                <w:lang w:eastAsia="en-GB"/>
                <w14:ligatures w14:val="none"/>
              </w:rPr>
              <w:t>Service:</w:t>
            </w:r>
          </w:p>
        </w:tc>
        <w:tc>
          <w:tcPr>
            <w:tcW w:w="2205" w:type="dxa"/>
            <w:gridSpan w:val="2"/>
            <w:vAlign w:val="center"/>
          </w:tcPr>
          <w:p w14:paraId="322ABF95" w14:textId="43385110" w:rsidR="00B10949" w:rsidRPr="008E58BD" w:rsidRDefault="00B10949" w:rsidP="00B10949">
            <w:pPr>
              <w:jc w:val="center"/>
              <w:rPr>
                <w:rFonts w:eastAsia="Times New Roman" w:cs="Arial"/>
                <w:kern w:val="0"/>
                <w:sz w:val="21"/>
                <w:szCs w:val="21"/>
                <w:lang w:eastAsia="en-GB"/>
                <w14:ligatures w14:val="none"/>
              </w:rPr>
            </w:pPr>
            <w:r w:rsidRPr="00110C1E">
              <w:rPr>
                <w:rFonts w:eastAsia="Times New Roman" w:cs="Arial"/>
                <w:b/>
                <w:bCs/>
                <w:kern w:val="0"/>
                <w:sz w:val="21"/>
                <w:szCs w:val="21"/>
                <w:lang w:eastAsia="en-GB"/>
                <w14:ligatures w14:val="none"/>
              </w:rPr>
              <w:t>Adult social care</w:t>
            </w:r>
          </w:p>
        </w:tc>
        <w:tc>
          <w:tcPr>
            <w:tcW w:w="2205" w:type="dxa"/>
            <w:gridSpan w:val="2"/>
            <w:vAlign w:val="center"/>
          </w:tcPr>
          <w:p w14:paraId="23542A9B" w14:textId="4D2ADFF9" w:rsidR="00B10949" w:rsidRPr="00B10949" w:rsidRDefault="00B10949" w:rsidP="00B10949">
            <w:pPr>
              <w:jc w:val="center"/>
              <w:rPr>
                <w:rFonts w:eastAsia="Times New Roman" w:cs="Arial"/>
                <w:b/>
                <w:bCs/>
                <w:kern w:val="0"/>
                <w:sz w:val="21"/>
                <w:szCs w:val="21"/>
                <w:lang w:eastAsia="en-GB"/>
                <w14:ligatures w14:val="none"/>
              </w:rPr>
            </w:pPr>
            <w:r w:rsidRPr="00B10949">
              <w:rPr>
                <w:rFonts w:eastAsia="Times New Roman" w:cs="Arial"/>
                <w:b/>
                <w:bCs/>
                <w:kern w:val="0"/>
                <w:sz w:val="21"/>
                <w:szCs w:val="21"/>
                <w:lang w:eastAsia="en-GB"/>
                <w14:ligatures w14:val="none"/>
              </w:rPr>
              <w:t>Children’s SW services</w:t>
            </w:r>
          </w:p>
        </w:tc>
        <w:tc>
          <w:tcPr>
            <w:tcW w:w="2205" w:type="dxa"/>
            <w:gridSpan w:val="2"/>
            <w:vAlign w:val="center"/>
          </w:tcPr>
          <w:p w14:paraId="029CA246" w14:textId="58F600F0" w:rsidR="00B10949" w:rsidRPr="00B10949" w:rsidRDefault="00B10949" w:rsidP="00B10949">
            <w:pPr>
              <w:jc w:val="center"/>
              <w:rPr>
                <w:rFonts w:eastAsia="Times New Roman" w:cs="Arial"/>
                <w:b/>
                <w:bCs/>
                <w:kern w:val="0"/>
                <w:sz w:val="21"/>
                <w:szCs w:val="21"/>
                <w:lang w:eastAsia="en-GB"/>
                <w14:ligatures w14:val="none"/>
              </w:rPr>
            </w:pPr>
            <w:r w:rsidRPr="00B10949">
              <w:rPr>
                <w:rFonts w:eastAsia="Times New Roman" w:cs="Arial"/>
                <w:b/>
                <w:bCs/>
                <w:kern w:val="0"/>
                <w:sz w:val="21"/>
                <w:szCs w:val="21"/>
                <w:lang w:eastAsia="en-GB"/>
                <w14:ligatures w14:val="none"/>
              </w:rPr>
              <w:t>Early Years</w:t>
            </w:r>
          </w:p>
        </w:tc>
        <w:tc>
          <w:tcPr>
            <w:tcW w:w="1134" w:type="dxa"/>
            <w:vAlign w:val="center"/>
          </w:tcPr>
          <w:p w14:paraId="4E0A0390" w14:textId="77777777" w:rsidR="00B10949" w:rsidRPr="008E58BD" w:rsidRDefault="00B10949" w:rsidP="008E58BD">
            <w:pPr>
              <w:jc w:val="right"/>
              <w:rPr>
                <w:rFonts w:eastAsia="Times New Roman" w:cs="Arial"/>
                <w:b/>
                <w:bCs/>
                <w:kern w:val="0"/>
                <w:sz w:val="21"/>
                <w:szCs w:val="21"/>
                <w:lang w:eastAsia="en-GB"/>
                <w14:ligatures w14:val="none"/>
              </w:rPr>
            </w:pPr>
          </w:p>
        </w:tc>
      </w:tr>
      <w:tr w:rsidR="001A6F0F" w:rsidRPr="008E58BD" w14:paraId="15E0EFFC" w14:textId="77777777" w:rsidTr="00110C1E">
        <w:trPr>
          <w:trHeight w:val="1770"/>
        </w:trPr>
        <w:tc>
          <w:tcPr>
            <w:tcW w:w="2405" w:type="dxa"/>
            <w:vMerge w:val="restart"/>
            <w:noWrap/>
            <w:vAlign w:val="bottom"/>
            <w:hideMark/>
          </w:tcPr>
          <w:p w14:paraId="66F9BC95" w14:textId="77777777" w:rsidR="001A6F0F" w:rsidRPr="008E58BD" w:rsidRDefault="001A6F0F" w:rsidP="008E58BD">
            <w:pPr>
              <w:jc w:val="right"/>
              <w:rPr>
                <w:rFonts w:eastAsia="Times New Roman" w:cs="Arial"/>
                <w:kern w:val="0"/>
                <w:sz w:val="21"/>
                <w:szCs w:val="21"/>
                <w:lang w:eastAsia="en-GB"/>
                <w14:ligatures w14:val="none"/>
              </w:rPr>
            </w:pPr>
          </w:p>
        </w:tc>
        <w:tc>
          <w:tcPr>
            <w:tcW w:w="1102" w:type="dxa"/>
            <w:vAlign w:val="center"/>
            <w:hideMark/>
          </w:tcPr>
          <w:p w14:paraId="15C4818A"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Adult Social Care RLW uplifts</w:t>
            </w:r>
          </w:p>
        </w:tc>
        <w:tc>
          <w:tcPr>
            <w:tcW w:w="1103" w:type="dxa"/>
            <w:vAlign w:val="center"/>
            <w:hideMark/>
          </w:tcPr>
          <w:p w14:paraId="2EAA43B4"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ASC RLW uplifts - share of extra £20M</w:t>
            </w:r>
          </w:p>
        </w:tc>
        <w:tc>
          <w:tcPr>
            <w:tcW w:w="1102" w:type="dxa"/>
            <w:vAlign w:val="center"/>
            <w:hideMark/>
          </w:tcPr>
          <w:p w14:paraId="54F42F8C" w14:textId="790CDF94"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Child</w:t>
            </w:r>
            <w:r>
              <w:rPr>
                <w:rFonts w:eastAsia="Times New Roman" w:cs="Arial"/>
                <w:kern w:val="0"/>
                <w:sz w:val="21"/>
                <w:szCs w:val="21"/>
                <w:lang w:eastAsia="en-GB"/>
                <w14:ligatures w14:val="none"/>
              </w:rPr>
              <w:t>-</w:t>
            </w:r>
            <w:r w:rsidRPr="008E58BD">
              <w:rPr>
                <w:rFonts w:eastAsia="Times New Roman" w:cs="Arial"/>
                <w:kern w:val="0"/>
                <w:sz w:val="21"/>
                <w:szCs w:val="21"/>
                <w:lang w:eastAsia="en-GB"/>
                <w14:ligatures w14:val="none"/>
              </w:rPr>
              <w:t>ren</w:t>
            </w:r>
            <w:r w:rsidRPr="00110C1E">
              <w:rPr>
                <w:rFonts w:eastAsia="Times New Roman" w:cs="Arial"/>
                <w:kern w:val="0"/>
                <w:sz w:val="21"/>
                <w:szCs w:val="21"/>
                <w:lang w:eastAsia="en-GB"/>
                <w14:ligatures w14:val="none"/>
              </w:rPr>
              <w:t>’</w:t>
            </w:r>
            <w:r w:rsidRPr="008E58BD">
              <w:rPr>
                <w:rFonts w:eastAsia="Times New Roman" w:cs="Arial"/>
                <w:kern w:val="0"/>
                <w:sz w:val="21"/>
                <w:szCs w:val="21"/>
                <w:lang w:eastAsia="en-GB"/>
                <w14:ligatures w14:val="none"/>
              </w:rPr>
              <w:t>s Social Care RLW uplifts</w:t>
            </w:r>
          </w:p>
        </w:tc>
        <w:tc>
          <w:tcPr>
            <w:tcW w:w="1103" w:type="dxa"/>
            <w:vAlign w:val="center"/>
            <w:hideMark/>
          </w:tcPr>
          <w:p w14:paraId="36D101ED"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CSC RLW uplifts - share of £20M</w:t>
            </w:r>
          </w:p>
        </w:tc>
        <w:tc>
          <w:tcPr>
            <w:tcW w:w="1102" w:type="dxa"/>
            <w:vAlign w:val="center"/>
            <w:hideMark/>
          </w:tcPr>
          <w:p w14:paraId="0B43A270" w14:textId="38A950BA"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Early Learning &amp; Child</w:t>
            </w:r>
            <w:r>
              <w:rPr>
                <w:rFonts w:eastAsia="Times New Roman" w:cs="Arial"/>
                <w:kern w:val="0"/>
                <w:sz w:val="21"/>
                <w:szCs w:val="21"/>
                <w:lang w:eastAsia="en-GB"/>
                <w14:ligatures w14:val="none"/>
              </w:rPr>
              <w:t>-</w:t>
            </w:r>
            <w:r w:rsidRPr="008E58BD">
              <w:rPr>
                <w:rFonts w:eastAsia="Times New Roman" w:cs="Arial"/>
                <w:kern w:val="0"/>
                <w:sz w:val="21"/>
                <w:szCs w:val="21"/>
                <w:lang w:eastAsia="en-GB"/>
                <w14:ligatures w14:val="none"/>
              </w:rPr>
              <w:t>care RLW uplifts</w:t>
            </w:r>
          </w:p>
        </w:tc>
        <w:tc>
          <w:tcPr>
            <w:tcW w:w="1103" w:type="dxa"/>
            <w:vAlign w:val="center"/>
            <w:hideMark/>
          </w:tcPr>
          <w:p w14:paraId="3CBB6526"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ELC RLW uplifts - share of £20M</w:t>
            </w:r>
          </w:p>
        </w:tc>
        <w:tc>
          <w:tcPr>
            <w:tcW w:w="1134" w:type="dxa"/>
            <w:vAlign w:val="center"/>
            <w:hideMark/>
          </w:tcPr>
          <w:p w14:paraId="45270CFF" w14:textId="77777777" w:rsidR="001A6F0F" w:rsidRPr="008E58BD" w:rsidRDefault="001A6F0F" w:rsidP="008E58BD">
            <w:pPr>
              <w:jc w:val="right"/>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GRAND TOTAL</w:t>
            </w:r>
          </w:p>
          <w:p w14:paraId="7C244110" w14:textId="278D0D82" w:rsidR="001A6F0F" w:rsidRPr="008E58BD" w:rsidRDefault="001A6F0F" w:rsidP="008E58BD">
            <w:pPr>
              <w:jc w:val="right"/>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 xml:space="preserve">for all REAL LIVING WAGE Uplifts </w:t>
            </w:r>
          </w:p>
        </w:tc>
      </w:tr>
      <w:tr w:rsidR="001A6F0F" w:rsidRPr="008E58BD" w14:paraId="433B32AC" w14:textId="77777777" w:rsidTr="00110C1E">
        <w:trPr>
          <w:trHeight w:val="240"/>
        </w:trPr>
        <w:tc>
          <w:tcPr>
            <w:tcW w:w="2405" w:type="dxa"/>
            <w:vMerge/>
            <w:noWrap/>
            <w:vAlign w:val="bottom"/>
            <w:hideMark/>
          </w:tcPr>
          <w:p w14:paraId="7163630C" w14:textId="77777777" w:rsidR="001A6F0F" w:rsidRPr="008E58BD" w:rsidRDefault="001A6F0F" w:rsidP="008E58BD">
            <w:pPr>
              <w:jc w:val="right"/>
              <w:rPr>
                <w:rFonts w:eastAsia="Times New Roman" w:cs="Arial"/>
                <w:b/>
                <w:bCs/>
                <w:kern w:val="0"/>
                <w:sz w:val="21"/>
                <w:szCs w:val="21"/>
                <w:lang w:eastAsia="en-GB"/>
                <w14:ligatures w14:val="none"/>
              </w:rPr>
            </w:pPr>
          </w:p>
        </w:tc>
        <w:tc>
          <w:tcPr>
            <w:tcW w:w="1102" w:type="dxa"/>
            <w:vAlign w:val="center"/>
            <w:hideMark/>
          </w:tcPr>
          <w:p w14:paraId="0CDBAEA9"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£M</w:t>
            </w:r>
          </w:p>
        </w:tc>
        <w:tc>
          <w:tcPr>
            <w:tcW w:w="1103" w:type="dxa"/>
            <w:vAlign w:val="center"/>
            <w:hideMark/>
          </w:tcPr>
          <w:p w14:paraId="62C84111"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£M</w:t>
            </w:r>
          </w:p>
        </w:tc>
        <w:tc>
          <w:tcPr>
            <w:tcW w:w="1102" w:type="dxa"/>
            <w:vAlign w:val="center"/>
            <w:hideMark/>
          </w:tcPr>
          <w:p w14:paraId="37750171"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£M</w:t>
            </w:r>
          </w:p>
        </w:tc>
        <w:tc>
          <w:tcPr>
            <w:tcW w:w="1103" w:type="dxa"/>
            <w:vAlign w:val="center"/>
            <w:hideMark/>
          </w:tcPr>
          <w:p w14:paraId="1EC524D8"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£M</w:t>
            </w:r>
          </w:p>
        </w:tc>
        <w:tc>
          <w:tcPr>
            <w:tcW w:w="1102" w:type="dxa"/>
            <w:vAlign w:val="center"/>
            <w:hideMark/>
          </w:tcPr>
          <w:p w14:paraId="0C232F50"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£M</w:t>
            </w:r>
          </w:p>
        </w:tc>
        <w:tc>
          <w:tcPr>
            <w:tcW w:w="1103" w:type="dxa"/>
            <w:vAlign w:val="center"/>
            <w:hideMark/>
          </w:tcPr>
          <w:p w14:paraId="3CDAD66C"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£M</w:t>
            </w:r>
          </w:p>
        </w:tc>
        <w:tc>
          <w:tcPr>
            <w:tcW w:w="1134" w:type="dxa"/>
            <w:vAlign w:val="center"/>
            <w:hideMark/>
          </w:tcPr>
          <w:p w14:paraId="3260B637" w14:textId="77777777" w:rsidR="001A6F0F" w:rsidRPr="008E58BD" w:rsidRDefault="001A6F0F" w:rsidP="008E58BD">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£M</w:t>
            </w:r>
          </w:p>
        </w:tc>
      </w:tr>
      <w:tr w:rsidR="00B10949" w:rsidRPr="008E58BD" w14:paraId="09FDABCE" w14:textId="77777777" w:rsidTr="00110C1E">
        <w:trPr>
          <w:trHeight w:val="255"/>
        </w:trPr>
        <w:tc>
          <w:tcPr>
            <w:tcW w:w="2405" w:type="dxa"/>
            <w:noWrap/>
            <w:vAlign w:val="bottom"/>
            <w:hideMark/>
          </w:tcPr>
          <w:p w14:paraId="5113D064"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Aberdeen City</w:t>
            </w:r>
          </w:p>
        </w:tc>
        <w:tc>
          <w:tcPr>
            <w:tcW w:w="1102" w:type="dxa"/>
            <w:noWrap/>
            <w:vAlign w:val="bottom"/>
            <w:hideMark/>
          </w:tcPr>
          <w:p w14:paraId="002E795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5.642</w:t>
            </w:r>
          </w:p>
        </w:tc>
        <w:tc>
          <w:tcPr>
            <w:tcW w:w="1103" w:type="dxa"/>
            <w:noWrap/>
            <w:vAlign w:val="bottom"/>
            <w:hideMark/>
          </w:tcPr>
          <w:p w14:paraId="11F2303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0.518</w:t>
            </w:r>
          </w:p>
        </w:tc>
        <w:tc>
          <w:tcPr>
            <w:tcW w:w="1102" w:type="dxa"/>
            <w:noWrap/>
            <w:vAlign w:val="bottom"/>
            <w:hideMark/>
          </w:tcPr>
          <w:p w14:paraId="132F67A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0.374</w:t>
            </w:r>
          </w:p>
        </w:tc>
        <w:tc>
          <w:tcPr>
            <w:tcW w:w="1103" w:type="dxa"/>
            <w:noWrap/>
            <w:vAlign w:val="bottom"/>
            <w:hideMark/>
          </w:tcPr>
          <w:p w14:paraId="1CA814B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0.099</w:t>
            </w:r>
          </w:p>
        </w:tc>
        <w:tc>
          <w:tcPr>
            <w:tcW w:w="1102" w:type="dxa"/>
            <w:noWrap/>
            <w:vAlign w:val="bottom"/>
            <w:hideMark/>
          </w:tcPr>
          <w:p w14:paraId="772F927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0.403</w:t>
            </w:r>
          </w:p>
        </w:tc>
        <w:tc>
          <w:tcPr>
            <w:tcW w:w="1103" w:type="dxa"/>
            <w:noWrap/>
            <w:vAlign w:val="bottom"/>
            <w:hideMark/>
          </w:tcPr>
          <w:p w14:paraId="7712D76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0.088</w:t>
            </w:r>
          </w:p>
        </w:tc>
        <w:tc>
          <w:tcPr>
            <w:tcW w:w="1134" w:type="dxa"/>
            <w:noWrap/>
            <w:vAlign w:val="bottom"/>
            <w:hideMark/>
          </w:tcPr>
          <w:p w14:paraId="28DEE4D6" w14:textId="2CF5E68F" w:rsidR="00B10949" w:rsidRPr="008E58BD" w:rsidRDefault="00B10949" w:rsidP="00B10949">
            <w:pPr>
              <w:jc w:val="right"/>
              <w:rPr>
                <w:rFonts w:eastAsia="Times New Roman" w:cs="Arial"/>
                <w:kern w:val="0"/>
                <w:sz w:val="20"/>
                <w:szCs w:val="20"/>
                <w:lang w:eastAsia="en-GB"/>
                <w14:ligatures w14:val="none"/>
              </w:rPr>
            </w:pPr>
            <w:r w:rsidRPr="00B10949">
              <w:rPr>
                <w:rFonts w:eastAsia="Times New Roman" w:cs="Arial"/>
                <w:kern w:val="0"/>
                <w:sz w:val="20"/>
                <w:szCs w:val="20"/>
                <w:lang w:eastAsia="en-GB"/>
                <w14:ligatures w14:val="none"/>
              </w:rPr>
              <w:t>7.124</w:t>
            </w:r>
          </w:p>
        </w:tc>
      </w:tr>
      <w:tr w:rsidR="00B10949" w:rsidRPr="008E58BD" w14:paraId="56417AEC" w14:textId="77777777" w:rsidTr="00110C1E">
        <w:trPr>
          <w:trHeight w:val="255"/>
        </w:trPr>
        <w:tc>
          <w:tcPr>
            <w:tcW w:w="2405" w:type="dxa"/>
            <w:noWrap/>
            <w:vAlign w:val="bottom"/>
            <w:hideMark/>
          </w:tcPr>
          <w:p w14:paraId="63B4AAF1"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Aberdeenshire</w:t>
            </w:r>
          </w:p>
        </w:tc>
        <w:tc>
          <w:tcPr>
            <w:tcW w:w="1102" w:type="dxa"/>
            <w:noWrap/>
            <w:vAlign w:val="bottom"/>
            <w:hideMark/>
          </w:tcPr>
          <w:p w14:paraId="250EC6B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6.523</w:t>
            </w:r>
          </w:p>
        </w:tc>
        <w:tc>
          <w:tcPr>
            <w:tcW w:w="1103" w:type="dxa"/>
            <w:noWrap/>
            <w:vAlign w:val="bottom"/>
            <w:hideMark/>
          </w:tcPr>
          <w:p w14:paraId="42EAABF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0.599</w:t>
            </w:r>
          </w:p>
        </w:tc>
        <w:tc>
          <w:tcPr>
            <w:tcW w:w="1102" w:type="dxa"/>
            <w:noWrap/>
            <w:vAlign w:val="bottom"/>
            <w:hideMark/>
          </w:tcPr>
          <w:p w14:paraId="3FD490E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0.582</w:t>
            </w:r>
          </w:p>
        </w:tc>
        <w:tc>
          <w:tcPr>
            <w:tcW w:w="1103" w:type="dxa"/>
            <w:noWrap/>
            <w:vAlign w:val="bottom"/>
            <w:hideMark/>
          </w:tcPr>
          <w:p w14:paraId="58C8BEA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0.154</w:t>
            </w:r>
          </w:p>
        </w:tc>
        <w:tc>
          <w:tcPr>
            <w:tcW w:w="1102" w:type="dxa"/>
            <w:noWrap/>
            <w:vAlign w:val="bottom"/>
            <w:hideMark/>
          </w:tcPr>
          <w:p w14:paraId="2846A50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0.533</w:t>
            </w:r>
          </w:p>
        </w:tc>
        <w:tc>
          <w:tcPr>
            <w:tcW w:w="1103" w:type="dxa"/>
            <w:noWrap/>
            <w:vAlign w:val="bottom"/>
            <w:hideMark/>
          </w:tcPr>
          <w:p w14:paraId="39358BE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0.116</w:t>
            </w:r>
          </w:p>
        </w:tc>
        <w:tc>
          <w:tcPr>
            <w:tcW w:w="1134" w:type="dxa"/>
            <w:noWrap/>
            <w:vAlign w:val="bottom"/>
            <w:hideMark/>
          </w:tcPr>
          <w:p w14:paraId="5645FE81" w14:textId="709AC261" w:rsidR="00B10949" w:rsidRPr="008E58BD" w:rsidRDefault="00B10949" w:rsidP="00B10949">
            <w:pPr>
              <w:jc w:val="right"/>
              <w:rPr>
                <w:rFonts w:eastAsia="Times New Roman" w:cs="Arial"/>
                <w:kern w:val="0"/>
                <w:sz w:val="20"/>
                <w:szCs w:val="20"/>
                <w:lang w:eastAsia="en-GB"/>
                <w14:ligatures w14:val="none"/>
              </w:rPr>
            </w:pPr>
            <w:r w:rsidRPr="00B10949">
              <w:rPr>
                <w:rFonts w:eastAsia="Times New Roman" w:cs="Arial"/>
                <w:kern w:val="0"/>
                <w:sz w:val="20"/>
                <w:szCs w:val="20"/>
                <w:lang w:eastAsia="en-GB"/>
                <w14:ligatures w14:val="none"/>
              </w:rPr>
              <w:t>8.507</w:t>
            </w:r>
          </w:p>
        </w:tc>
      </w:tr>
      <w:tr w:rsidR="00B10949" w:rsidRPr="008E58BD" w14:paraId="685E7C06" w14:textId="77777777" w:rsidTr="00110C1E">
        <w:trPr>
          <w:trHeight w:val="255"/>
        </w:trPr>
        <w:tc>
          <w:tcPr>
            <w:tcW w:w="2405" w:type="dxa"/>
            <w:noWrap/>
            <w:vAlign w:val="bottom"/>
            <w:hideMark/>
          </w:tcPr>
          <w:p w14:paraId="29158455"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Angus</w:t>
            </w:r>
          </w:p>
        </w:tc>
        <w:tc>
          <w:tcPr>
            <w:tcW w:w="1102" w:type="dxa"/>
            <w:noWrap/>
            <w:vAlign w:val="bottom"/>
            <w:hideMark/>
          </w:tcPr>
          <w:p w14:paraId="3982672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3.676</w:t>
            </w:r>
          </w:p>
        </w:tc>
        <w:tc>
          <w:tcPr>
            <w:tcW w:w="1103" w:type="dxa"/>
            <w:noWrap/>
            <w:vAlign w:val="bottom"/>
            <w:hideMark/>
          </w:tcPr>
          <w:p w14:paraId="5ABB23F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0.338</w:t>
            </w:r>
          </w:p>
        </w:tc>
        <w:tc>
          <w:tcPr>
            <w:tcW w:w="1102" w:type="dxa"/>
            <w:noWrap/>
            <w:vAlign w:val="bottom"/>
            <w:hideMark/>
          </w:tcPr>
          <w:p w14:paraId="585ED54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0.246</w:t>
            </w:r>
          </w:p>
        </w:tc>
        <w:tc>
          <w:tcPr>
            <w:tcW w:w="1103" w:type="dxa"/>
            <w:noWrap/>
            <w:vAlign w:val="bottom"/>
            <w:hideMark/>
          </w:tcPr>
          <w:p w14:paraId="4928E0E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0.065</w:t>
            </w:r>
          </w:p>
        </w:tc>
        <w:tc>
          <w:tcPr>
            <w:tcW w:w="1102" w:type="dxa"/>
            <w:noWrap/>
            <w:vAlign w:val="bottom"/>
            <w:hideMark/>
          </w:tcPr>
          <w:p w14:paraId="4047FAA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0.221</w:t>
            </w:r>
          </w:p>
        </w:tc>
        <w:tc>
          <w:tcPr>
            <w:tcW w:w="1103" w:type="dxa"/>
            <w:noWrap/>
            <w:vAlign w:val="bottom"/>
            <w:hideMark/>
          </w:tcPr>
          <w:p w14:paraId="24675CC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0.048</w:t>
            </w:r>
          </w:p>
        </w:tc>
        <w:tc>
          <w:tcPr>
            <w:tcW w:w="1134" w:type="dxa"/>
            <w:noWrap/>
            <w:vAlign w:val="bottom"/>
            <w:hideMark/>
          </w:tcPr>
          <w:p w14:paraId="2C5F8AD9" w14:textId="7C1FF98C" w:rsidR="00B10949" w:rsidRPr="008E58BD" w:rsidRDefault="00B10949" w:rsidP="00B10949">
            <w:pPr>
              <w:jc w:val="right"/>
              <w:rPr>
                <w:rFonts w:eastAsia="Times New Roman" w:cs="Arial"/>
                <w:kern w:val="0"/>
                <w:sz w:val="20"/>
                <w:szCs w:val="20"/>
                <w:lang w:eastAsia="en-GB"/>
                <w14:ligatures w14:val="none"/>
              </w:rPr>
            </w:pPr>
            <w:r w:rsidRPr="00B10949">
              <w:rPr>
                <w:rFonts w:eastAsia="Times New Roman" w:cs="Arial"/>
                <w:kern w:val="0"/>
                <w:sz w:val="20"/>
                <w:szCs w:val="20"/>
                <w:lang w:eastAsia="en-GB"/>
                <w14:ligatures w14:val="none"/>
              </w:rPr>
              <w:t>4.595</w:t>
            </w:r>
          </w:p>
        </w:tc>
      </w:tr>
      <w:tr w:rsidR="00B10949" w:rsidRPr="008E58BD" w14:paraId="54182D13" w14:textId="77777777" w:rsidTr="00110C1E">
        <w:trPr>
          <w:trHeight w:val="255"/>
        </w:trPr>
        <w:tc>
          <w:tcPr>
            <w:tcW w:w="2405" w:type="dxa"/>
            <w:noWrap/>
            <w:vAlign w:val="bottom"/>
            <w:hideMark/>
          </w:tcPr>
          <w:p w14:paraId="0BC8E02E"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Argyll &amp; Bute</w:t>
            </w:r>
          </w:p>
        </w:tc>
        <w:tc>
          <w:tcPr>
            <w:tcW w:w="1102" w:type="dxa"/>
            <w:noWrap/>
            <w:vAlign w:val="bottom"/>
            <w:hideMark/>
          </w:tcPr>
          <w:p w14:paraId="344CEAB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2.955</w:t>
            </w:r>
          </w:p>
        </w:tc>
        <w:tc>
          <w:tcPr>
            <w:tcW w:w="1103" w:type="dxa"/>
            <w:noWrap/>
            <w:vAlign w:val="bottom"/>
            <w:hideMark/>
          </w:tcPr>
          <w:p w14:paraId="05D4B26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0.271</w:t>
            </w:r>
          </w:p>
        </w:tc>
        <w:tc>
          <w:tcPr>
            <w:tcW w:w="1102" w:type="dxa"/>
            <w:noWrap/>
            <w:vAlign w:val="bottom"/>
            <w:hideMark/>
          </w:tcPr>
          <w:p w14:paraId="4BCC663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0.176</w:t>
            </w:r>
          </w:p>
        </w:tc>
        <w:tc>
          <w:tcPr>
            <w:tcW w:w="1103" w:type="dxa"/>
            <w:noWrap/>
            <w:vAlign w:val="bottom"/>
            <w:hideMark/>
          </w:tcPr>
          <w:p w14:paraId="7B7B300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0.046</w:t>
            </w:r>
          </w:p>
        </w:tc>
        <w:tc>
          <w:tcPr>
            <w:tcW w:w="1102" w:type="dxa"/>
            <w:noWrap/>
            <w:vAlign w:val="bottom"/>
            <w:hideMark/>
          </w:tcPr>
          <w:p w14:paraId="3FEECF7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0.158</w:t>
            </w:r>
          </w:p>
        </w:tc>
        <w:tc>
          <w:tcPr>
            <w:tcW w:w="1103" w:type="dxa"/>
            <w:noWrap/>
            <w:vAlign w:val="bottom"/>
            <w:hideMark/>
          </w:tcPr>
          <w:p w14:paraId="4799EE5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0.034</w:t>
            </w:r>
          </w:p>
        </w:tc>
        <w:tc>
          <w:tcPr>
            <w:tcW w:w="1134" w:type="dxa"/>
            <w:noWrap/>
            <w:vAlign w:val="bottom"/>
            <w:hideMark/>
          </w:tcPr>
          <w:p w14:paraId="775A0900" w14:textId="71B568DE" w:rsidR="00B10949" w:rsidRPr="008E58BD" w:rsidRDefault="00B10949" w:rsidP="00B10949">
            <w:pPr>
              <w:jc w:val="right"/>
              <w:rPr>
                <w:rFonts w:eastAsia="Times New Roman" w:cs="Arial"/>
                <w:kern w:val="0"/>
                <w:sz w:val="20"/>
                <w:szCs w:val="20"/>
                <w:lang w:eastAsia="en-GB"/>
                <w14:ligatures w14:val="none"/>
              </w:rPr>
            </w:pPr>
            <w:r w:rsidRPr="00B10949">
              <w:rPr>
                <w:rFonts w:eastAsia="Times New Roman" w:cs="Arial"/>
                <w:kern w:val="0"/>
                <w:sz w:val="20"/>
                <w:szCs w:val="20"/>
                <w:lang w:eastAsia="en-GB"/>
                <w14:ligatures w14:val="none"/>
              </w:rPr>
              <w:t>3.640</w:t>
            </w:r>
          </w:p>
        </w:tc>
      </w:tr>
      <w:tr w:rsidR="00B10949" w:rsidRPr="008E58BD" w14:paraId="193393A8" w14:textId="77777777" w:rsidTr="00110C1E">
        <w:trPr>
          <w:trHeight w:val="255"/>
        </w:trPr>
        <w:tc>
          <w:tcPr>
            <w:tcW w:w="2405" w:type="dxa"/>
            <w:noWrap/>
            <w:vAlign w:val="bottom"/>
            <w:hideMark/>
          </w:tcPr>
          <w:p w14:paraId="3E861748"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City of Edinburgh</w:t>
            </w:r>
          </w:p>
        </w:tc>
        <w:tc>
          <w:tcPr>
            <w:tcW w:w="1102" w:type="dxa"/>
            <w:noWrap/>
            <w:vAlign w:val="bottom"/>
            <w:hideMark/>
          </w:tcPr>
          <w:p w14:paraId="3937F5C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12.230</w:t>
            </w:r>
          </w:p>
        </w:tc>
        <w:tc>
          <w:tcPr>
            <w:tcW w:w="1103" w:type="dxa"/>
            <w:noWrap/>
            <w:vAlign w:val="bottom"/>
            <w:hideMark/>
          </w:tcPr>
          <w:p w14:paraId="32DCBE3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1.124</w:t>
            </w:r>
          </w:p>
        </w:tc>
        <w:tc>
          <w:tcPr>
            <w:tcW w:w="1102" w:type="dxa"/>
            <w:noWrap/>
            <w:vAlign w:val="bottom"/>
            <w:hideMark/>
          </w:tcPr>
          <w:p w14:paraId="597A258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0.733</w:t>
            </w:r>
          </w:p>
        </w:tc>
        <w:tc>
          <w:tcPr>
            <w:tcW w:w="1103" w:type="dxa"/>
            <w:noWrap/>
            <w:vAlign w:val="bottom"/>
            <w:hideMark/>
          </w:tcPr>
          <w:p w14:paraId="3DFEE5A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0.193</w:t>
            </w:r>
          </w:p>
        </w:tc>
        <w:tc>
          <w:tcPr>
            <w:tcW w:w="1102" w:type="dxa"/>
            <w:noWrap/>
            <w:vAlign w:val="bottom"/>
            <w:hideMark/>
          </w:tcPr>
          <w:p w14:paraId="76BC9B7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0.826</w:t>
            </w:r>
          </w:p>
        </w:tc>
        <w:tc>
          <w:tcPr>
            <w:tcW w:w="1103" w:type="dxa"/>
            <w:noWrap/>
            <w:vAlign w:val="bottom"/>
            <w:hideMark/>
          </w:tcPr>
          <w:p w14:paraId="3CA6259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0.180</w:t>
            </w:r>
          </w:p>
        </w:tc>
        <w:tc>
          <w:tcPr>
            <w:tcW w:w="1134" w:type="dxa"/>
            <w:noWrap/>
            <w:vAlign w:val="bottom"/>
            <w:hideMark/>
          </w:tcPr>
          <w:p w14:paraId="4CFCCC39" w14:textId="5784F3F9" w:rsidR="00B10949" w:rsidRPr="008E58BD" w:rsidRDefault="00B10949" w:rsidP="00B10949">
            <w:pPr>
              <w:jc w:val="right"/>
              <w:rPr>
                <w:rFonts w:eastAsia="Times New Roman" w:cs="Arial"/>
                <w:kern w:val="0"/>
                <w:sz w:val="21"/>
                <w:szCs w:val="21"/>
                <w:lang w:eastAsia="en-GB"/>
                <w14:ligatures w14:val="none"/>
              </w:rPr>
            </w:pPr>
            <w:r w:rsidRPr="00B10949">
              <w:rPr>
                <w:rFonts w:eastAsia="Times New Roman" w:cs="Arial"/>
                <w:kern w:val="0"/>
                <w:sz w:val="20"/>
                <w:szCs w:val="20"/>
                <w:lang w:eastAsia="en-GB"/>
                <w14:ligatures w14:val="none"/>
              </w:rPr>
              <w:t>15.288</w:t>
            </w:r>
          </w:p>
        </w:tc>
      </w:tr>
      <w:tr w:rsidR="00B10949" w:rsidRPr="008E58BD" w14:paraId="66D83677" w14:textId="77777777" w:rsidTr="00110C1E">
        <w:trPr>
          <w:trHeight w:val="255"/>
        </w:trPr>
        <w:tc>
          <w:tcPr>
            <w:tcW w:w="2405" w:type="dxa"/>
            <w:noWrap/>
            <w:vAlign w:val="bottom"/>
            <w:hideMark/>
          </w:tcPr>
          <w:p w14:paraId="6AB44B8D"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Clackmannanshire</w:t>
            </w:r>
          </w:p>
        </w:tc>
        <w:tc>
          <w:tcPr>
            <w:tcW w:w="1102" w:type="dxa"/>
            <w:noWrap/>
            <w:vAlign w:val="bottom"/>
            <w:hideMark/>
          </w:tcPr>
          <w:p w14:paraId="21C350E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1.490</w:t>
            </w:r>
          </w:p>
        </w:tc>
        <w:tc>
          <w:tcPr>
            <w:tcW w:w="1103" w:type="dxa"/>
            <w:noWrap/>
            <w:vAlign w:val="bottom"/>
            <w:hideMark/>
          </w:tcPr>
          <w:p w14:paraId="5D04020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0.137</w:t>
            </w:r>
          </w:p>
        </w:tc>
        <w:tc>
          <w:tcPr>
            <w:tcW w:w="1102" w:type="dxa"/>
            <w:noWrap/>
            <w:vAlign w:val="bottom"/>
            <w:hideMark/>
          </w:tcPr>
          <w:p w14:paraId="7DCF1C1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0.112</w:t>
            </w:r>
          </w:p>
        </w:tc>
        <w:tc>
          <w:tcPr>
            <w:tcW w:w="1103" w:type="dxa"/>
            <w:noWrap/>
            <w:vAlign w:val="bottom"/>
            <w:hideMark/>
          </w:tcPr>
          <w:p w14:paraId="0D756BC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0.029</w:t>
            </w:r>
          </w:p>
        </w:tc>
        <w:tc>
          <w:tcPr>
            <w:tcW w:w="1102" w:type="dxa"/>
            <w:noWrap/>
            <w:vAlign w:val="bottom"/>
            <w:hideMark/>
          </w:tcPr>
          <w:p w14:paraId="6CB3BD6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0.118</w:t>
            </w:r>
          </w:p>
        </w:tc>
        <w:tc>
          <w:tcPr>
            <w:tcW w:w="1103" w:type="dxa"/>
            <w:noWrap/>
            <w:vAlign w:val="bottom"/>
            <w:hideMark/>
          </w:tcPr>
          <w:p w14:paraId="46750C2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0.026</w:t>
            </w:r>
          </w:p>
        </w:tc>
        <w:tc>
          <w:tcPr>
            <w:tcW w:w="1134" w:type="dxa"/>
            <w:noWrap/>
            <w:vAlign w:val="bottom"/>
            <w:hideMark/>
          </w:tcPr>
          <w:p w14:paraId="13600CD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1.911</w:t>
            </w:r>
          </w:p>
        </w:tc>
      </w:tr>
      <w:tr w:rsidR="00B10949" w:rsidRPr="008E58BD" w14:paraId="484F5F8F" w14:textId="77777777" w:rsidTr="00110C1E">
        <w:trPr>
          <w:trHeight w:val="255"/>
        </w:trPr>
        <w:tc>
          <w:tcPr>
            <w:tcW w:w="2405" w:type="dxa"/>
            <w:noWrap/>
            <w:vAlign w:val="bottom"/>
            <w:hideMark/>
          </w:tcPr>
          <w:p w14:paraId="0FAE6832"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Dumfries &amp; Galloway</w:t>
            </w:r>
          </w:p>
        </w:tc>
        <w:tc>
          <w:tcPr>
            <w:tcW w:w="1102" w:type="dxa"/>
            <w:noWrap/>
            <w:vAlign w:val="bottom"/>
            <w:hideMark/>
          </w:tcPr>
          <w:p w14:paraId="30E00E6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5.321</w:t>
            </w:r>
          </w:p>
        </w:tc>
        <w:tc>
          <w:tcPr>
            <w:tcW w:w="1103" w:type="dxa"/>
            <w:noWrap/>
            <w:vAlign w:val="bottom"/>
            <w:hideMark/>
          </w:tcPr>
          <w:p w14:paraId="1E95166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0.489</w:t>
            </w:r>
          </w:p>
        </w:tc>
        <w:tc>
          <w:tcPr>
            <w:tcW w:w="1102" w:type="dxa"/>
            <w:noWrap/>
            <w:vAlign w:val="bottom"/>
            <w:hideMark/>
          </w:tcPr>
          <w:p w14:paraId="588A365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0.354</w:t>
            </w:r>
          </w:p>
        </w:tc>
        <w:tc>
          <w:tcPr>
            <w:tcW w:w="1103" w:type="dxa"/>
            <w:noWrap/>
            <w:vAlign w:val="bottom"/>
            <w:hideMark/>
          </w:tcPr>
          <w:p w14:paraId="495403F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0.093</w:t>
            </w:r>
          </w:p>
        </w:tc>
        <w:tc>
          <w:tcPr>
            <w:tcW w:w="1102" w:type="dxa"/>
            <w:noWrap/>
            <w:vAlign w:val="bottom"/>
            <w:hideMark/>
          </w:tcPr>
          <w:p w14:paraId="372922C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0.292</w:t>
            </w:r>
          </w:p>
        </w:tc>
        <w:tc>
          <w:tcPr>
            <w:tcW w:w="1103" w:type="dxa"/>
            <w:noWrap/>
            <w:vAlign w:val="bottom"/>
            <w:hideMark/>
          </w:tcPr>
          <w:p w14:paraId="4028E6E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0.064</w:t>
            </w:r>
          </w:p>
        </w:tc>
        <w:tc>
          <w:tcPr>
            <w:tcW w:w="1134" w:type="dxa"/>
            <w:noWrap/>
            <w:vAlign w:val="bottom"/>
            <w:hideMark/>
          </w:tcPr>
          <w:p w14:paraId="7C2F940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6.612</w:t>
            </w:r>
          </w:p>
        </w:tc>
      </w:tr>
      <w:tr w:rsidR="00B10949" w:rsidRPr="008E58BD" w14:paraId="69D5F1DE" w14:textId="77777777" w:rsidTr="00110C1E">
        <w:trPr>
          <w:trHeight w:val="255"/>
        </w:trPr>
        <w:tc>
          <w:tcPr>
            <w:tcW w:w="2405" w:type="dxa"/>
            <w:noWrap/>
            <w:vAlign w:val="bottom"/>
            <w:hideMark/>
          </w:tcPr>
          <w:p w14:paraId="2811CAA4"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Dundee City</w:t>
            </w:r>
          </w:p>
        </w:tc>
        <w:tc>
          <w:tcPr>
            <w:tcW w:w="1102" w:type="dxa"/>
            <w:noWrap/>
            <w:vAlign w:val="bottom"/>
            <w:hideMark/>
          </w:tcPr>
          <w:p w14:paraId="4D97B95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4.604</w:t>
            </w:r>
          </w:p>
        </w:tc>
        <w:tc>
          <w:tcPr>
            <w:tcW w:w="1103" w:type="dxa"/>
            <w:noWrap/>
            <w:vAlign w:val="bottom"/>
            <w:hideMark/>
          </w:tcPr>
          <w:p w14:paraId="50AD13B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0.423</w:t>
            </w:r>
          </w:p>
        </w:tc>
        <w:tc>
          <w:tcPr>
            <w:tcW w:w="1102" w:type="dxa"/>
            <w:noWrap/>
            <w:vAlign w:val="bottom"/>
            <w:hideMark/>
          </w:tcPr>
          <w:p w14:paraId="1AD9612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0.299</w:t>
            </w:r>
          </w:p>
        </w:tc>
        <w:tc>
          <w:tcPr>
            <w:tcW w:w="1103" w:type="dxa"/>
            <w:noWrap/>
            <w:vAlign w:val="bottom"/>
            <w:hideMark/>
          </w:tcPr>
          <w:p w14:paraId="207074E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0.079</w:t>
            </w:r>
          </w:p>
        </w:tc>
        <w:tc>
          <w:tcPr>
            <w:tcW w:w="1102" w:type="dxa"/>
            <w:noWrap/>
            <w:vAlign w:val="bottom"/>
            <w:hideMark/>
          </w:tcPr>
          <w:p w14:paraId="1540843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0.312</w:t>
            </w:r>
          </w:p>
        </w:tc>
        <w:tc>
          <w:tcPr>
            <w:tcW w:w="1103" w:type="dxa"/>
            <w:noWrap/>
            <w:vAlign w:val="bottom"/>
            <w:hideMark/>
          </w:tcPr>
          <w:p w14:paraId="671C75A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0.068</w:t>
            </w:r>
          </w:p>
        </w:tc>
        <w:tc>
          <w:tcPr>
            <w:tcW w:w="1134" w:type="dxa"/>
            <w:noWrap/>
            <w:vAlign w:val="bottom"/>
            <w:hideMark/>
          </w:tcPr>
          <w:p w14:paraId="49DACC2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5.786</w:t>
            </w:r>
          </w:p>
        </w:tc>
      </w:tr>
      <w:tr w:rsidR="00B10949" w:rsidRPr="008E58BD" w14:paraId="2B5F6EE6" w14:textId="77777777" w:rsidTr="00110C1E">
        <w:trPr>
          <w:trHeight w:val="255"/>
        </w:trPr>
        <w:tc>
          <w:tcPr>
            <w:tcW w:w="2405" w:type="dxa"/>
            <w:noWrap/>
            <w:vAlign w:val="bottom"/>
            <w:hideMark/>
          </w:tcPr>
          <w:p w14:paraId="4FACB05B"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East Ayrshire</w:t>
            </w:r>
          </w:p>
        </w:tc>
        <w:tc>
          <w:tcPr>
            <w:tcW w:w="1102" w:type="dxa"/>
            <w:noWrap/>
            <w:vAlign w:val="bottom"/>
            <w:hideMark/>
          </w:tcPr>
          <w:p w14:paraId="2EF683A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3.945</w:t>
            </w:r>
          </w:p>
        </w:tc>
        <w:tc>
          <w:tcPr>
            <w:tcW w:w="1103" w:type="dxa"/>
            <w:noWrap/>
            <w:vAlign w:val="bottom"/>
            <w:hideMark/>
          </w:tcPr>
          <w:p w14:paraId="42265DE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0.362</w:t>
            </w:r>
          </w:p>
        </w:tc>
        <w:tc>
          <w:tcPr>
            <w:tcW w:w="1102" w:type="dxa"/>
            <w:noWrap/>
            <w:vAlign w:val="bottom"/>
            <w:hideMark/>
          </w:tcPr>
          <w:p w14:paraId="54ED9A3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0.271</w:t>
            </w:r>
          </w:p>
        </w:tc>
        <w:tc>
          <w:tcPr>
            <w:tcW w:w="1103" w:type="dxa"/>
            <w:noWrap/>
            <w:vAlign w:val="bottom"/>
            <w:hideMark/>
          </w:tcPr>
          <w:p w14:paraId="3A4249B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0.071</w:t>
            </w:r>
          </w:p>
        </w:tc>
        <w:tc>
          <w:tcPr>
            <w:tcW w:w="1102" w:type="dxa"/>
            <w:noWrap/>
            <w:vAlign w:val="bottom"/>
            <w:hideMark/>
          </w:tcPr>
          <w:p w14:paraId="1C1380A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0.286</w:t>
            </w:r>
          </w:p>
        </w:tc>
        <w:tc>
          <w:tcPr>
            <w:tcW w:w="1103" w:type="dxa"/>
            <w:noWrap/>
            <w:vAlign w:val="bottom"/>
            <w:hideMark/>
          </w:tcPr>
          <w:p w14:paraId="333B217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0.062</w:t>
            </w:r>
          </w:p>
        </w:tc>
        <w:tc>
          <w:tcPr>
            <w:tcW w:w="1134" w:type="dxa"/>
            <w:noWrap/>
            <w:vAlign w:val="bottom"/>
            <w:hideMark/>
          </w:tcPr>
          <w:p w14:paraId="7E80B9A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4.998</w:t>
            </w:r>
          </w:p>
        </w:tc>
      </w:tr>
      <w:tr w:rsidR="00B10949" w:rsidRPr="008E58BD" w14:paraId="6BB2FF51" w14:textId="77777777" w:rsidTr="00110C1E">
        <w:trPr>
          <w:trHeight w:val="255"/>
        </w:trPr>
        <w:tc>
          <w:tcPr>
            <w:tcW w:w="2405" w:type="dxa"/>
            <w:noWrap/>
            <w:vAlign w:val="bottom"/>
            <w:hideMark/>
          </w:tcPr>
          <w:p w14:paraId="072E339E"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East Dunbartonshire</w:t>
            </w:r>
          </w:p>
        </w:tc>
        <w:tc>
          <w:tcPr>
            <w:tcW w:w="1102" w:type="dxa"/>
            <w:noWrap/>
            <w:vAlign w:val="bottom"/>
            <w:hideMark/>
          </w:tcPr>
          <w:p w14:paraId="127EE18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2.855</w:t>
            </w:r>
          </w:p>
        </w:tc>
        <w:tc>
          <w:tcPr>
            <w:tcW w:w="1103" w:type="dxa"/>
            <w:noWrap/>
            <w:vAlign w:val="bottom"/>
            <w:hideMark/>
          </w:tcPr>
          <w:p w14:paraId="289DF90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0.262</w:t>
            </w:r>
          </w:p>
        </w:tc>
        <w:tc>
          <w:tcPr>
            <w:tcW w:w="1102" w:type="dxa"/>
            <w:noWrap/>
            <w:vAlign w:val="bottom"/>
            <w:hideMark/>
          </w:tcPr>
          <w:p w14:paraId="4F67D30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0.163</w:t>
            </w:r>
          </w:p>
        </w:tc>
        <w:tc>
          <w:tcPr>
            <w:tcW w:w="1103" w:type="dxa"/>
            <w:noWrap/>
            <w:vAlign w:val="bottom"/>
            <w:hideMark/>
          </w:tcPr>
          <w:p w14:paraId="5D1821B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0.043</w:t>
            </w:r>
          </w:p>
        </w:tc>
        <w:tc>
          <w:tcPr>
            <w:tcW w:w="1102" w:type="dxa"/>
            <w:noWrap/>
            <w:vAlign w:val="bottom"/>
            <w:hideMark/>
          </w:tcPr>
          <w:p w14:paraId="01D33A3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0.198</w:t>
            </w:r>
          </w:p>
        </w:tc>
        <w:tc>
          <w:tcPr>
            <w:tcW w:w="1103" w:type="dxa"/>
            <w:noWrap/>
            <w:vAlign w:val="bottom"/>
            <w:hideMark/>
          </w:tcPr>
          <w:p w14:paraId="1F6CE85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0.043</w:t>
            </w:r>
          </w:p>
        </w:tc>
        <w:tc>
          <w:tcPr>
            <w:tcW w:w="1134" w:type="dxa"/>
            <w:noWrap/>
            <w:vAlign w:val="bottom"/>
            <w:hideMark/>
          </w:tcPr>
          <w:p w14:paraId="3019DFFF"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3.564</w:t>
            </w:r>
          </w:p>
        </w:tc>
      </w:tr>
      <w:tr w:rsidR="00B10949" w:rsidRPr="008E58BD" w14:paraId="50F71848" w14:textId="77777777" w:rsidTr="00110C1E">
        <w:trPr>
          <w:trHeight w:val="255"/>
        </w:trPr>
        <w:tc>
          <w:tcPr>
            <w:tcW w:w="2405" w:type="dxa"/>
            <w:noWrap/>
            <w:vAlign w:val="bottom"/>
            <w:hideMark/>
          </w:tcPr>
          <w:p w14:paraId="4CF9C3C8"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East Lothian</w:t>
            </w:r>
          </w:p>
        </w:tc>
        <w:tc>
          <w:tcPr>
            <w:tcW w:w="1102" w:type="dxa"/>
            <w:noWrap/>
            <w:vAlign w:val="bottom"/>
            <w:hideMark/>
          </w:tcPr>
          <w:p w14:paraId="24D8A52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3.096</w:t>
            </w:r>
          </w:p>
        </w:tc>
        <w:tc>
          <w:tcPr>
            <w:tcW w:w="1103" w:type="dxa"/>
            <w:noWrap/>
            <w:vAlign w:val="bottom"/>
            <w:hideMark/>
          </w:tcPr>
          <w:p w14:paraId="2644865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0.284</w:t>
            </w:r>
          </w:p>
        </w:tc>
        <w:tc>
          <w:tcPr>
            <w:tcW w:w="1102" w:type="dxa"/>
            <w:noWrap/>
            <w:vAlign w:val="bottom"/>
            <w:hideMark/>
          </w:tcPr>
          <w:p w14:paraId="2DE166E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0.215</w:t>
            </w:r>
          </w:p>
        </w:tc>
        <w:tc>
          <w:tcPr>
            <w:tcW w:w="1103" w:type="dxa"/>
            <w:noWrap/>
            <w:vAlign w:val="bottom"/>
            <w:hideMark/>
          </w:tcPr>
          <w:p w14:paraId="3B36975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0.057</w:t>
            </w:r>
          </w:p>
        </w:tc>
        <w:tc>
          <w:tcPr>
            <w:tcW w:w="1102" w:type="dxa"/>
            <w:noWrap/>
            <w:vAlign w:val="bottom"/>
            <w:hideMark/>
          </w:tcPr>
          <w:p w14:paraId="3857FCF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0.243</w:t>
            </w:r>
          </w:p>
        </w:tc>
        <w:tc>
          <w:tcPr>
            <w:tcW w:w="1103" w:type="dxa"/>
            <w:noWrap/>
            <w:vAlign w:val="bottom"/>
            <w:hideMark/>
          </w:tcPr>
          <w:p w14:paraId="2290FB0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0.053</w:t>
            </w:r>
          </w:p>
        </w:tc>
        <w:tc>
          <w:tcPr>
            <w:tcW w:w="1134" w:type="dxa"/>
            <w:noWrap/>
            <w:vAlign w:val="bottom"/>
            <w:hideMark/>
          </w:tcPr>
          <w:p w14:paraId="2EFA3CB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3.948</w:t>
            </w:r>
          </w:p>
        </w:tc>
      </w:tr>
      <w:tr w:rsidR="00B10949" w:rsidRPr="008E58BD" w14:paraId="5F099845" w14:textId="77777777" w:rsidTr="00110C1E">
        <w:trPr>
          <w:trHeight w:val="255"/>
        </w:trPr>
        <w:tc>
          <w:tcPr>
            <w:tcW w:w="2405" w:type="dxa"/>
            <w:noWrap/>
            <w:vAlign w:val="bottom"/>
            <w:hideMark/>
          </w:tcPr>
          <w:p w14:paraId="326B7506"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East Renfrewshire</w:t>
            </w:r>
          </w:p>
        </w:tc>
        <w:tc>
          <w:tcPr>
            <w:tcW w:w="1102" w:type="dxa"/>
            <w:noWrap/>
            <w:vAlign w:val="bottom"/>
            <w:hideMark/>
          </w:tcPr>
          <w:p w14:paraId="5F752C1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2.411</w:t>
            </w:r>
          </w:p>
        </w:tc>
        <w:tc>
          <w:tcPr>
            <w:tcW w:w="1103" w:type="dxa"/>
            <w:noWrap/>
            <w:vAlign w:val="bottom"/>
            <w:hideMark/>
          </w:tcPr>
          <w:p w14:paraId="2D2A329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0.221</w:t>
            </w:r>
          </w:p>
        </w:tc>
        <w:tc>
          <w:tcPr>
            <w:tcW w:w="1102" w:type="dxa"/>
            <w:noWrap/>
            <w:vAlign w:val="bottom"/>
            <w:hideMark/>
          </w:tcPr>
          <w:p w14:paraId="46E2E34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0.160</w:t>
            </w:r>
          </w:p>
        </w:tc>
        <w:tc>
          <w:tcPr>
            <w:tcW w:w="1103" w:type="dxa"/>
            <w:noWrap/>
            <w:vAlign w:val="bottom"/>
            <w:hideMark/>
          </w:tcPr>
          <w:p w14:paraId="0937002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0.042</w:t>
            </w:r>
          </w:p>
        </w:tc>
        <w:tc>
          <w:tcPr>
            <w:tcW w:w="1102" w:type="dxa"/>
            <w:noWrap/>
            <w:vAlign w:val="bottom"/>
            <w:hideMark/>
          </w:tcPr>
          <w:p w14:paraId="1E0CAED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0.191</w:t>
            </w:r>
          </w:p>
        </w:tc>
        <w:tc>
          <w:tcPr>
            <w:tcW w:w="1103" w:type="dxa"/>
            <w:noWrap/>
            <w:vAlign w:val="bottom"/>
            <w:hideMark/>
          </w:tcPr>
          <w:p w14:paraId="679BE7B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0.042</w:t>
            </w:r>
          </w:p>
        </w:tc>
        <w:tc>
          <w:tcPr>
            <w:tcW w:w="1134" w:type="dxa"/>
            <w:noWrap/>
            <w:vAlign w:val="bottom"/>
            <w:hideMark/>
          </w:tcPr>
          <w:p w14:paraId="631606A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3.067</w:t>
            </w:r>
          </w:p>
        </w:tc>
      </w:tr>
      <w:tr w:rsidR="00B10949" w:rsidRPr="008E58BD" w14:paraId="7181BACD" w14:textId="77777777" w:rsidTr="00110C1E">
        <w:trPr>
          <w:trHeight w:val="255"/>
        </w:trPr>
        <w:tc>
          <w:tcPr>
            <w:tcW w:w="2405" w:type="dxa"/>
            <w:noWrap/>
            <w:vAlign w:val="bottom"/>
            <w:hideMark/>
          </w:tcPr>
          <w:p w14:paraId="0E236EFA"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Falkirk</w:t>
            </w:r>
          </w:p>
        </w:tc>
        <w:tc>
          <w:tcPr>
            <w:tcW w:w="1102" w:type="dxa"/>
            <w:noWrap/>
            <w:vAlign w:val="bottom"/>
            <w:hideMark/>
          </w:tcPr>
          <w:p w14:paraId="0065337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4.638</w:t>
            </w:r>
          </w:p>
        </w:tc>
        <w:tc>
          <w:tcPr>
            <w:tcW w:w="1103" w:type="dxa"/>
            <w:noWrap/>
            <w:vAlign w:val="bottom"/>
            <w:hideMark/>
          </w:tcPr>
          <w:p w14:paraId="4574B42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0.426</w:t>
            </w:r>
          </w:p>
        </w:tc>
        <w:tc>
          <w:tcPr>
            <w:tcW w:w="1102" w:type="dxa"/>
            <w:noWrap/>
            <w:vAlign w:val="bottom"/>
            <w:hideMark/>
          </w:tcPr>
          <w:p w14:paraId="2930E88F"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0.314</w:t>
            </w:r>
          </w:p>
        </w:tc>
        <w:tc>
          <w:tcPr>
            <w:tcW w:w="1103" w:type="dxa"/>
            <w:noWrap/>
            <w:vAlign w:val="bottom"/>
            <w:hideMark/>
          </w:tcPr>
          <w:p w14:paraId="54567F6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0.083</w:t>
            </w:r>
          </w:p>
        </w:tc>
        <w:tc>
          <w:tcPr>
            <w:tcW w:w="1102" w:type="dxa"/>
            <w:noWrap/>
            <w:vAlign w:val="bottom"/>
            <w:hideMark/>
          </w:tcPr>
          <w:p w14:paraId="1561866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0.312</w:t>
            </w:r>
          </w:p>
        </w:tc>
        <w:tc>
          <w:tcPr>
            <w:tcW w:w="1103" w:type="dxa"/>
            <w:noWrap/>
            <w:vAlign w:val="bottom"/>
            <w:hideMark/>
          </w:tcPr>
          <w:p w14:paraId="596CFE6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0.068</w:t>
            </w:r>
          </w:p>
        </w:tc>
        <w:tc>
          <w:tcPr>
            <w:tcW w:w="1134" w:type="dxa"/>
            <w:noWrap/>
            <w:vAlign w:val="bottom"/>
            <w:hideMark/>
          </w:tcPr>
          <w:p w14:paraId="45693E2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5.840</w:t>
            </w:r>
          </w:p>
        </w:tc>
      </w:tr>
      <w:tr w:rsidR="00B10949" w:rsidRPr="008E58BD" w14:paraId="02E6DC2B" w14:textId="77777777" w:rsidTr="00110C1E">
        <w:trPr>
          <w:trHeight w:val="255"/>
        </w:trPr>
        <w:tc>
          <w:tcPr>
            <w:tcW w:w="2405" w:type="dxa"/>
            <w:noWrap/>
            <w:vAlign w:val="bottom"/>
            <w:hideMark/>
          </w:tcPr>
          <w:p w14:paraId="18E82E81"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Fife</w:t>
            </w:r>
          </w:p>
        </w:tc>
        <w:tc>
          <w:tcPr>
            <w:tcW w:w="1102" w:type="dxa"/>
            <w:noWrap/>
            <w:vAlign w:val="bottom"/>
            <w:hideMark/>
          </w:tcPr>
          <w:p w14:paraId="1E4CD13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10.968</w:t>
            </w:r>
          </w:p>
        </w:tc>
        <w:tc>
          <w:tcPr>
            <w:tcW w:w="1103" w:type="dxa"/>
            <w:noWrap/>
            <w:vAlign w:val="bottom"/>
            <w:hideMark/>
          </w:tcPr>
          <w:p w14:paraId="040340B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1.008</w:t>
            </w:r>
          </w:p>
        </w:tc>
        <w:tc>
          <w:tcPr>
            <w:tcW w:w="1102" w:type="dxa"/>
            <w:noWrap/>
            <w:vAlign w:val="bottom"/>
            <w:hideMark/>
          </w:tcPr>
          <w:p w14:paraId="0BD576A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0.754</w:t>
            </w:r>
          </w:p>
        </w:tc>
        <w:tc>
          <w:tcPr>
            <w:tcW w:w="1103" w:type="dxa"/>
            <w:noWrap/>
            <w:vAlign w:val="bottom"/>
            <w:hideMark/>
          </w:tcPr>
          <w:p w14:paraId="1734DE6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0.199</w:t>
            </w:r>
          </w:p>
        </w:tc>
        <w:tc>
          <w:tcPr>
            <w:tcW w:w="1102" w:type="dxa"/>
            <w:noWrap/>
            <w:vAlign w:val="bottom"/>
            <w:hideMark/>
          </w:tcPr>
          <w:p w14:paraId="6244B5B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0.738</w:t>
            </w:r>
          </w:p>
        </w:tc>
        <w:tc>
          <w:tcPr>
            <w:tcW w:w="1103" w:type="dxa"/>
            <w:noWrap/>
            <w:vAlign w:val="bottom"/>
            <w:hideMark/>
          </w:tcPr>
          <w:p w14:paraId="00FBEBF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0.161</w:t>
            </w:r>
          </w:p>
        </w:tc>
        <w:tc>
          <w:tcPr>
            <w:tcW w:w="1134" w:type="dxa"/>
            <w:noWrap/>
            <w:vAlign w:val="bottom"/>
            <w:hideMark/>
          </w:tcPr>
          <w:p w14:paraId="5B9875A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13.827</w:t>
            </w:r>
          </w:p>
        </w:tc>
      </w:tr>
      <w:tr w:rsidR="00B10949" w:rsidRPr="008E58BD" w14:paraId="1C816DE3" w14:textId="77777777" w:rsidTr="00110C1E">
        <w:trPr>
          <w:trHeight w:val="255"/>
        </w:trPr>
        <w:tc>
          <w:tcPr>
            <w:tcW w:w="2405" w:type="dxa"/>
            <w:noWrap/>
            <w:vAlign w:val="bottom"/>
            <w:hideMark/>
          </w:tcPr>
          <w:p w14:paraId="6D9921A7"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Glasgow City</w:t>
            </w:r>
          </w:p>
        </w:tc>
        <w:tc>
          <w:tcPr>
            <w:tcW w:w="1102" w:type="dxa"/>
            <w:noWrap/>
            <w:vAlign w:val="bottom"/>
            <w:hideMark/>
          </w:tcPr>
          <w:p w14:paraId="26AD012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18.901</w:t>
            </w:r>
          </w:p>
        </w:tc>
        <w:tc>
          <w:tcPr>
            <w:tcW w:w="1103" w:type="dxa"/>
            <w:noWrap/>
            <w:vAlign w:val="bottom"/>
            <w:hideMark/>
          </w:tcPr>
          <w:p w14:paraId="5612EF5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1.737</w:t>
            </w:r>
          </w:p>
        </w:tc>
        <w:tc>
          <w:tcPr>
            <w:tcW w:w="1102" w:type="dxa"/>
            <w:noWrap/>
            <w:vAlign w:val="bottom"/>
            <w:hideMark/>
          </w:tcPr>
          <w:p w14:paraId="2F74CE3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1.394</w:t>
            </w:r>
          </w:p>
        </w:tc>
        <w:tc>
          <w:tcPr>
            <w:tcW w:w="1103" w:type="dxa"/>
            <w:noWrap/>
            <w:vAlign w:val="bottom"/>
            <w:hideMark/>
          </w:tcPr>
          <w:p w14:paraId="2F173C1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0.367</w:t>
            </w:r>
          </w:p>
        </w:tc>
        <w:tc>
          <w:tcPr>
            <w:tcW w:w="1102" w:type="dxa"/>
            <w:noWrap/>
            <w:vAlign w:val="bottom"/>
            <w:hideMark/>
          </w:tcPr>
          <w:p w14:paraId="296915B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1.326</w:t>
            </w:r>
          </w:p>
        </w:tc>
        <w:tc>
          <w:tcPr>
            <w:tcW w:w="1103" w:type="dxa"/>
            <w:noWrap/>
            <w:vAlign w:val="bottom"/>
            <w:hideMark/>
          </w:tcPr>
          <w:p w14:paraId="3F732C1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0.289</w:t>
            </w:r>
          </w:p>
        </w:tc>
        <w:tc>
          <w:tcPr>
            <w:tcW w:w="1134" w:type="dxa"/>
            <w:noWrap/>
            <w:vAlign w:val="bottom"/>
            <w:hideMark/>
          </w:tcPr>
          <w:p w14:paraId="406FCFB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24.014</w:t>
            </w:r>
          </w:p>
        </w:tc>
      </w:tr>
      <w:tr w:rsidR="00B10949" w:rsidRPr="008E58BD" w14:paraId="77A09B36" w14:textId="77777777" w:rsidTr="00110C1E">
        <w:trPr>
          <w:trHeight w:val="255"/>
        </w:trPr>
        <w:tc>
          <w:tcPr>
            <w:tcW w:w="2405" w:type="dxa"/>
            <w:noWrap/>
            <w:vAlign w:val="bottom"/>
            <w:hideMark/>
          </w:tcPr>
          <w:p w14:paraId="2C616A58"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Highland</w:t>
            </w:r>
          </w:p>
        </w:tc>
        <w:tc>
          <w:tcPr>
            <w:tcW w:w="1102" w:type="dxa"/>
            <w:noWrap/>
            <w:vAlign w:val="bottom"/>
            <w:hideMark/>
          </w:tcPr>
          <w:p w14:paraId="3039736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7.173</w:t>
            </w:r>
          </w:p>
        </w:tc>
        <w:tc>
          <w:tcPr>
            <w:tcW w:w="1103" w:type="dxa"/>
            <w:noWrap/>
            <w:vAlign w:val="bottom"/>
            <w:hideMark/>
          </w:tcPr>
          <w:p w14:paraId="270C400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0.659</w:t>
            </w:r>
          </w:p>
        </w:tc>
        <w:tc>
          <w:tcPr>
            <w:tcW w:w="1102" w:type="dxa"/>
            <w:noWrap/>
            <w:vAlign w:val="bottom"/>
            <w:hideMark/>
          </w:tcPr>
          <w:p w14:paraId="1C014D0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0.544</w:t>
            </w:r>
          </w:p>
        </w:tc>
        <w:tc>
          <w:tcPr>
            <w:tcW w:w="1103" w:type="dxa"/>
            <w:noWrap/>
            <w:vAlign w:val="bottom"/>
            <w:hideMark/>
          </w:tcPr>
          <w:p w14:paraId="78F58C8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0.143</w:t>
            </w:r>
          </w:p>
        </w:tc>
        <w:tc>
          <w:tcPr>
            <w:tcW w:w="1102" w:type="dxa"/>
            <w:noWrap/>
            <w:vAlign w:val="bottom"/>
            <w:hideMark/>
          </w:tcPr>
          <w:p w14:paraId="7F1D796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0.483</w:t>
            </w:r>
          </w:p>
        </w:tc>
        <w:tc>
          <w:tcPr>
            <w:tcW w:w="1103" w:type="dxa"/>
            <w:noWrap/>
            <w:vAlign w:val="bottom"/>
            <w:hideMark/>
          </w:tcPr>
          <w:p w14:paraId="28C7343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0.105</w:t>
            </w:r>
          </w:p>
        </w:tc>
        <w:tc>
          <w:tcPr>
            <w:tcW w:w="1134" w:type="dxa"/>
            <w:noWrap/>
            <w:vAlign w:val="bottom"/>
            <w:hideMark/>
          </w:tcPr>
          <w:p w14:paraId="7D2B0D0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9.108</w:t>
            </w:r>
          </w:p>
        </w:tc>
      </w:tr>
      <w:tr w:rsidR="00B10949" w:rsidRPr="008E58BD" w14:paraId="262E8E4F" w14:textId="77777777" w:rsidTr="00110C1E">
        <w:trPr>
          <w:trHeight w:val="255"/>
        </w:trPr>
        <w:tc>
          <w:tcPr>
            <w:tcW w:w="2405" w:type="dxa"/>
            <w:noWrap/>
            <w:vAlign w:val="bottom"/>
            <w:hideMark/>
          </w:tcPr>
          <w:p w14:paraId="676F719B"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Inverclyde</w:t>
            </w:r>
          </w:p>
        </w:tc>
        <w:tc>
          <w:tcPr>
            <w:tcW w:w="1102" w:type="dxa"/>
            <w:noWrap/>
            <w:vAlign w:val="bottom"/>
            <w:hideMark/>
          </w:tcPr>
          <w:p w14:paraId="3966456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2.790</w:t>
            </w:r>
          </w:p>
        </w:tc>
        <w:tc>
          <w:tcPr>
            <w:tcW w:w="1103" w:type="dxa"/>
            <w:noWrap/>
            <w:vAlign w:val="bottom"/>
            <w:hideMark/>
          </w:tcPr>
          <w:p w14:paraId="2381C1E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0.256</w:t>
            </w:r>
          </w:p>
        </w:tc>
        <w:tc>
          <w:tcPr>
            <w:tcW w:w="1102" w:type="dxa"/>
            <w:noWrap/>
            <w:vAlign w:val="bottom"/>
            <w:hideMark/>
          </w:tcPr>
          <w:p w14:paraId="43F7D4C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0.154</w:t>
            </w:r>
          </w:p>
        </w:tc>
        <w:tc>
          <w:tcPr>
            <w:tcW w:w="1103" w:type="dxa"/>
            <w:noWrap/>
            <w:vAlign w:val="bottom"/>
            <w:hideMark/>
          </w:tcPr>
          <w:p w14:paraId="15AB337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0.041</w:t>
            </w:r>
          </w:p>
        </w:tc>
        <w:tc>
          <w:tcPr>
            <w:tcW w:w="1102" w:type="dxa"/>
            <w:noWrap/>
            <w:vAlign w:val="bottom"/>
            <w:hideMark/>
          </w:tcPr>
          <w:p w14:paraId="63E2D75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0.161</w:t>
            </w:r>
          </w:p>
        </w:tc>
        <w:tc>
          <w:tcPr>
            <w:tcW w:w="1103" w:type="dxa"/>
            <w:noWrap/>
            <w:vAlign w:val="bottom"/>
            <w:hideMark/>
          </w:tcPr>
          <w:p w14:paraId="106B0BE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0.035</w:t>
            </w:r>
          </w:p>
        </w:tc>
        <w:tc>
          <w:tcPr>
            <w:tcW w:w="1134" w:type="dxa"/>
            <w:noWrap/>
            <w:vAlign w:val="bottom"/>
            <w:hideMark/>
          </w:tcPr>
          <w:p w14:paraId="75B46FB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3.437</w:t>
            </w:r>
          </w:p>
        </w:tc>
      </w:tr>
      <w:tr w:rsidR="00B10949" w:rsidRPr="008E58BD" w14:paraId="3CB777D4" w14:textId="77777777" w:rsidTr="00110C1E">
        <w:trPr>
          <w:trHeight w:val="255"/>
        </w:trPr>
        <w:tc>
          <w:tcPr>
            <w:tcW w:w="2405" w:type="dxa"/>
            <w:noWrap/>
            <w:vAlign w:val="bottom"/>
            <w:hideMark/>
          </w:tcPr>
          <w:p w14:paraId="63162378"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Midlothian</w:t>
            </w:r>
          </w:p>
        </w:tc>
        <w:tc>
          <w:tcPr>
            <w:tcW w:w="1102" w:type="dxa"/>
            <w:noWrap/>
            <w:vAlign w:val="bottom"/>
            <w:hideMark/>
          </w:tcPr>
          <w:p w14:paraId="635BAA5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2.476</w:t>
            </w:r>
          </w:p>
        </w:tc>
        <w:tc>
          <w:tcPr>
            <w:tcW w:w="1103" w:type="dxa"/>
            <w:noWrap/>
            <w:vAlign w:val="bottom"/>
            <w:hideMark/>
          </w:tcPr>
          <w:p w14:paraId="4EA23C6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0.227</w:t>
            </w:r>
          </w:p>
        </w:tc>
        <w:tc>
          <w:tcPr>
            <w:tcW w:w="1102" w:type="dxa"/>
            <w:noWrap/>
            <w:vAlign w:val="bottom"/>
            <w:hideMark/>
          </w:tcPr>
          <w:p w14:paraId="40F3CD6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0.197</w:t>
            </w:r>
          </w:p>
        </w:tc>
        <w:tc>
          <w:tcPr>
            <w:tcW w:w="1103" w:type="dxa"/>
            <w:noWrap/>
            <w:vAlign w:val="bottom"/>
            <w:hideMark/>
          </w:tcPr>
          <w:p w14:paraId="641BB2A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0.052</w:t>
            </w:r>
          </w:p>
        </w:tc>
        <w:tc>
          <w:tcPr>
            <w:tcW w:w="1102" w:type="dxa"/>
            <w:noWrap/>
            <w:vAlign w:val="bottom"/>
            <w:hideMark/>
          </w:tcPr>
          <w:p w14:paraId="15A24A8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0.246</w:t>
            </w:r>
          </w:p>
        </w:tc>
        <w:tc>
          <w:tcPr>
            <w:tcW w:w="1103" w:type="dxa"/>
            <w:noWrap/>
            <w:vAlign w:val="bottom"/>
            <w:hideMark/>
          </w:tcPr>
          <w:p w14:paraId="0E12C37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0.054</w:t>
            </w:r>
          </w:p>
        </w:tc>
        <w:tc>
          <w:tcPr>
            <w:tcW w:w="1134" w:type="dxa"/>
            <w:noWrap/>
            <w:vAlign w:val="bottom"/>
            <w:hideMark/>
          </w:tcPr>
          <w:p w14:paraId="00E06CB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3.252</w:t>
            </w:r>
          </w:p>
        </w:tc>
      </w:tr>
      <w:tr w:rsidR="00B10949" w:rsidRPr="008E58BD" w14:paraId="25967DAC" w14:textId="77777777" w:rsidTr="00110C1E">
        <w:trPr>
          <w:trHeight w:val="255"/>
        </w:trPr>
        <w:tc>
          <w:tcPr>
            <w:tcW w:w="2405" w:type="dxa"/>
            <w:noWrap/>
            <w:vAlign w:val="bottom"/>
            <w:hideMark/>
          </w:tcPr>
          <w:p w14:paraId="657CE791"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Moray</w:t>
            </w:r>
          </w:p>
        </w:tc>
        <w:tc>
          <w:tcPr>
            <w:tcW w:w="1102" w:type="dxa"/>
            <w:noWrap/>
            <w:vAlign w:val="bottom"/>
            <w:hideMark/>
          </w:tcPr>
          <w:p w14:paraId="03CC8C0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2.927</w:t>
            </w:r>
          </w:p>
        </w:tc>
        <w:tc>
          <w:tcPr>
            <w:tcW w:w="1103" w:type="dxa"/>
            <w:noWrap/>
            <w:vAlign w:val="bottom"/>
            <w:hideMark/>
          </w:tcPr>
          <w:p w14:paraId="5924C70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0.269</w:t>
            </w:r>
          </w:p>
        </w:tc>
        <w:tc>
          <w:tcPr>
            <w:tcW w:w="1102" w:type="dxa"/>
            <w:noWrap/>
            <w:vAlign w:val="bottom"/>
            <w:hideMark/>
          </w:tcPr>
          <w:p w14:paraId="72F4334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0.202</w:t>
            </w:r>
          </w:p>
        </w:tc>
        <w:tc>
          <w:tcPr>
            <w:tcW w:w="1103" w:type="dxa"/>
            <w:noWrap/>
            <w:vAlign w:val="bottom"/>
            <w:hideMark/>
          </w:tcPr>
          <w:p w14:paraId="1D5F2B0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0.053</w:t>
            </w:r>
          </w:p>
        </w:tc>
        <w:tc>
          <w:tcPr>
            <w:tcW w:w="1102" w:type="dxa"/>
            <w:noWrap/>
            <w:vAlign w:val="bottom"/>
            <w:hideMark/>
          </w:tcPr>
          <w:p w14:paraId="6703042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0.188</w:t>
            </w:r>
          </w:p>
        </w:tc>
        <w:tc>
          <w:tcPr>
            <w:tcW w:w="1103" w:type="dxa"/>
            <w:noWrap/>
            <w:vAlign w:val="bottom"/>
            <w:hideMark/>
          </w:tcPr>
          <w:p w14:paraId="79C3777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0.041</w:t>
            </w:r>
          </w:p>
        </w:tc>
        <w:tc>
          <w:tcPr>
            <w:tcW w:w="1134" w:type="dxa"/>
            <w:noWrap/>
            <w:vAlign w:val="bottom"/>
            <w:hideMark/>
          </w:tcPr>
          <w:p w14:paraId="5ACA7FD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3.680</w:t>
            </w:r>
          </w:p>
        </w:tc>
      </w:tr>
      <w:tr w:rsidR="00B10949" w:rsidRPr="008E58BD" w14:paraId="102D2BFD" w14:textId="77777777" w:rsidTr="00110C1E">
        <w:trPr>
          <w:trHeight w:val="255"/>
        </w:trPr>
        <w:tc>
          <w:tcPr>
            <w:tcW w:w="2405" w:type="dxa"/>
            <w:noWrap/>
            <w:vAlign w:val="bottom"/>
            <w:hideMark/>
          </w:tcPr>
          <w:p w14:paraId="195FF5EB"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Na h-</w:t>
            </w:r>
            <w:proofErr w:type="spellStart"/>
            <w:r w:rsidRPr="008E58BD">
              <w:rPr>
                <w:rFonts w:eastAsia="Times New Roman" w:cs="Arial"/>
                <w:kern w:val="0"/>
                <w:sz w:val="21"/>
                <w:szCs w:val="21"/>
                <w:lang w:eastAsia="en-GB"/>
                <w14:ligatures w14:val="none"/>
              </w:rPr>
              <w:t>Eileanan</w:t>
            </w:r>
            <w:proofErr w:type="spellEnd"/>
            <w:r w:rsidRPr="008E58BD">
              <w:rPr>
                <w:rFonts w:eastAsia="Times New Roman" w:cs="Arial"/>
                <w:kern w:val="0"/>
                <w:sz w:val="21"/>
                <w:szCs w:val="21"/>
                <w:lang w:eastAsia="en-GB"/>
                <w14:ligatures w14:val="none"/>
              </w:rPr>
              <w:t xml:space="preserve"> Siar</w:t>
            </w:r>
          </w:p>
        </w:tc>
        <w:tc>
          <w:tcPr>
            <w:tcW w:w="1102" w:type="dxa"/>
            <w:noWrap/>
            <w:vAlign w:val="bottom"/>
            <w:hideMark/>
          </w:tcPr>
          <w:p w14:paraId="116A085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1.102</w:t>
            </w:r>
          </w:p>
        </w:tc>
        <w:tc>
          <w:tcPr>
            <w:tcW w:w="1103" w:type="dxa"/>
            <w:noWrap/>
            <w:vAlign w:val="bottom"/>
            <w:hideMark/>
          </w:tcPr>
          <w:p w14:paraId="2BCE045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0.101</w:t>
            </w:r>
          </w:p>
        </w:tc>
        <w:tc>
          <w:tcPr>
            <w:tcW w:w="1102" w:type="dxa"/>
            <w:noWrap/>
            <w:vAlign w:val="bottom"/>
            <w:hideMark/>
          </w:tcPr>
          <w:p w14:paraId="198A1DB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0.069</w:t>
            </w:r>
          </w:p>
        </w:tc>
        <w:tc>
          <w:tcPr>
            <w:tcW w:w="1103" w:type="dxa"/>
            <w:noWrap/>
            <w:vAlign w:val="bottom"/>
            <w:hideMark/>
          </w:tcPr>
          <w:p w14:paraId="62A26BE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0.018</w:t>
            </w:r>
          </w:p>
        </w:tc>
        <w:tc>
          <w:tcPr>
            <w:tcW w:w="1102" w:type="dxa"/>
            <w:noWrap/>
            <w:vAlign w:val="bottom"/>
            <w:hideMark/>
          </w:tcPr>
          <w:p w14:paraId="0C11DA1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0.049</w:t>
            </w:r>
          </w:p>
        </w:tc>
        <w:tc>
          <w:tcPr>
            <w:tcW w:w="1103" w:type="dxa"/>
            <w:noWrap/>
            <w:vAlign w:val="bottom"/>
            <w:hideMark/>
          </w:tcPr>
          <w:p w14:paraId="23E7F95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0.011</w:t>
            </w:r>
          </w:p>
        </w:tc>
        <w:tc>
          <w:tcPr>
            <w:tcW w:w="1134" w:type="dxa"/>
            <w:noWrap/>
            <w:vAlign w:val="bottom"/>
            <w:hideMark/>
          </w:tcPr>
          <w:p w14:paraId="15559B2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1.350</w:t>
            </w:r>
          </w:p>
        </w:tc>
      </w:tr>
      <w:tr w:rsidR="00B10949" w:rsidRPr="008E58BD" w14:paraId="69CC370F" w14:textId="77777777" w:rsidTr="00110C1E">
        <w:trPr>
          <w:trHeight w:val="255"/>
        </w:trPr>
        <w:tc>
          <w:tcPr>
            <w:tcW w:w="2405" w:type="dxa"/>
            <w:noWrap/>
            <w:vAlign w:val="bottom"/>
            <w:hideMark/>
          </w:tcPr>
          <w:p w14:paraId="2FFD4B13"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North Ayrshire</w:t>
            </w:r>
          </w:p>
        </w:tc>
        <w:tc>
          <w:tcPr>
            <w:tcW w:w="1102" w:type="dxa"/>
            <w:noWrap/>
            <w:vAlign w:val="bottom"/>
            <w:hideMark/>
          </w:tcPr>
          <w:p w14:paraId="2335DA4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4.688</w:t>
            </w:r>
          </w:p>
        </w:tc>
        <w:tc>
          <w:tcPr>
            <w:tcW w:w="1103" w:type="dxa"/>
            <w:noWrap/>
            <w:vAlign w:val="bottom"/>
            <w:hideMark/>
          </w:tcPr>
          <w:p w14:paraId="6404202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0.431</w:t>
            </w:r>
          </w:p>
        </w:tc>
        <w:tc>
          <w:tcPr>
            <w:tcW w:w="1102" w:type="dxa"/>
            <w:noWrap/>
            <w:vAlign w:val="bottom"/>
            <w:hideMark/>
          </w:tcPr>
          <w:p w14:paraId="0D53294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0.297</w:t>
            </w:r>
          </w:p>
        </w:tc>
        <w:tc>
          <w:tcPr>
            <w:tcW w:w="1103" w:type="dxa"/>
            <w:noWrap/>
            <w:vAlign w:val="bottom"/>
            <w:hideMark/>
          </w:tcPr>
          <w:p w14:paraId="4A6354D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0.078</w:t>
            </w:r>
          </w:p>
        </w:tc>
        <w:tc>
          <w:tcPr>
            <w:tcW w:w="1102" w:type="dxa"/>
            <w:noWrap/>
            <w:vAlign w:val="bottom"/>
            <w:hideMark/>
          </w:tcPr>
          <w:p w14:paraId="5FBACA5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0.266</w:t>
            </w:r>
          </w:p>
        </w:tc>
        <w:tc>
          <w:tcPr>
            <w:tcW w:w="1103" w:type="dxa"/>
            <w:noWrap/>
            <w:vAlign w:val="bottom"/>
            <w:hideMark/>
          </w:tcPr>
          <w:p w14:paraId="1BF07C3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0.058</w:t>
            </w:r>
          </w:p>
        </w:tc>
        <w:tc>
          <w:tcPr>
            <w:tcW w:w="1134" w:type="dxa"/>
            <w:noWrap/>
            <w:vAlign w:val="bottom"/>
            <w:hideMark/>
          </w:tcPr>
          <w:p w14:paraId="73D9137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5.818</w:t>
            </w:r>
          </w:p>
        </w:tc>
      </w:tr>
      <w:tr w:rsidR="00B10949" w:rsidRPr="008E58BD" w14:paraId="515CB6A5" w14:textId="77777777" w:rsidTr="00110C1E">
        <w:trPr>
          <w:trHeight w:val="255"/>
        </w:trPr>
        <w:tc>
          <w:tcPr>
            <w:tcW w:w="2405" w:type="dxa"/>
            <w:noWrap/>
            <w:vAlign w:val="bottom"/>
            <w:hideMark/>
          </w:tcPr>
          <w:p w14:paraId="5A692645"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North Lanarkshire</w:t>
            </w:r>
          </w:p>
        </w:tc>
        <w:tc>
          <w:tcPr>
            <w:tcW w:w="1102" w:type="dxa"/>
            <w:noWrap/>
            <w:vAlign w:val="bottom"/>
            <w:hideMark/>
          </w:tcPr>
          <w:p w14:paraId="0EEE0D8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10.316</w:t>
            </w:r>
          </w:p>
        </w:tc>
        <w:tc>
          <w:tcPr>
            <w:tcW w:w="1103" w:type="dxa"/>
            <w:noWrap/>
            <w:vAlign w:val="bottom"/>
            <w:hideMark/>
          </w:tcPr>
          <w:p w14:paraId="5D8962B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0.948</w:t>
            </w:r>
          </w:p>
        </w:tc>
        <w:tc>
          <w:tcPr>
            <w:tcW w:w="1102" w:type="dxa"/>
            <w:noWrap/>
            <w:vAlign w:val="bottom"/>
            <w:hideMark/>
          </w:tcPr>
          <w:p w14:paraId="7A9DA1B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0.738</w:t>
            </w:r>
          </w:p>
        </w:tc>
        <w:tc>
          <w:tcPr>
            <w:tcW w:w="1103" w:type="dxa"/>
            <w:noWrap/>
            <w:vAlign w:val="bottom"/>
            <w:hideMark/>
          </w:tcPr>
          <w:p w14:paraId="0C518DA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0.194</w:t>
            </w:r>
          </w:p>
        </w:tc>
        <w:tc>
          <w:tcPr>
            <w:tcW w:w="1102" w:type="dxa"/>
            <w:noWrap/>
            <w:vAlign w:val="bottom"/>
            <w:hideMark/>
          </w:tcPr>
          <w:p w14:paraId="2FB4CF2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0.724</w:t>
            </w:r>
          </w:p>
        </w:tc>
        <w:tc>
          <w:tcPr>
            <w:tcW w:w="1103" w:type="dxa"/>
            <w:noWrap/>
            <w:vAlign w:val="bottom"/>
            <w:hideMark/>
          </w:tcPr>
          <w:p w14:paraId="467B286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0.158</w:t>
            </w:r>
          </w:p>
        </w:tc>
        <w:tc>
          <w:tcPr>
            <w:tcW w:w="1134" w:type="dxa"/>
            <w:noWrap/>
            <w:vAlign w:val="bottom"/>
            <w:hideMark/>
          </w:tcPr>
          <w:p w14:paraId="7DCA34E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13.078</w:t>
            </w:r>
          </w:p>
        </w:tc>
      </w:tr>
      <w:tr w:rsidR="00B10949" w:rsidRPr="008E58BD" w14:paraId="1F6B5E20" w14:textId="77777777" w:rsidTr="00110C1E">
        <w:trPr>
          <w:trHeight w:val="255"/>
        </w:trPr>
        <w:tc>
          <w:tcPr>
            <w:tcW w:w="2405" w:type="dxa"/>
            <w:noWrap/>
            <w:vAlign w:val="bottom"/>
            <w:hideMark/>
          </w:tcPr>
          <w:p w14:paraId="6CD7B646"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Orkney Islands</w:t>
            </w:r>
          </w:p>
        </w:tc>
        <w:tc>
          <w:tcPr>
            <w:tcW w:w="1102" w:type="dxa"/>
            <w:noWrap/>
            <w:vAlign w:val="bottom"/>
            <w:hideMark/>
          </w:tcPr>
          <w:p w14:paraId="2A788F9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0.714</w:t>
            </w:r>
          </w:p>
        </w:tc>
        <w:tc>
          <w:tcPr>
            <w:tcW w:w="1103" w:type="dxa"/>
            <w:noWrap/>
            <w:vAlign w:val="bottom"/>
            <w:hideMark/>
          </w:tcPr>
          <w:p w14:paraId="6E289C7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0.066</w:t>
            </w:r>
          </w:p>
        </w:tc>
        <w:tc>
          <w:tcPr>
            <w:tcW w:w="1102" w:type="dxa"/>
            <w:noWrap/>
            <w:vAlign w:val="bottom"/>
            <w:hideMark/>
          </w:tcPr>
          <w:p w14:paraId="2708806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0.055</w:t>
            </w:r>
          </w:p>
        </w:tc>
        <w:tc>
          <w:tcPr>
            <w:tcW w:w="1103" w:type="dxa"/>
            <w:noWrap/>
            <w:vAlign w:val="bottom"/>
            <w:hideMark/>
          </w:tcPr>
          <w:p w14:paraId="0C33390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0.014</w:t>
            </w:r>
          </w:p>
        </w:tc>
        <w:tc>
          <w:tcPr>
            <w:tcW w:w="1102" w:type="dxa"/>
            <w:noWrap/>
            <w:vAlign w:val="bottom"/>
            <w:hideMark/>
          </w:tcPr>
          <w:p w14:paraId="242079B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0.043</w:t>
            </w:r>
          </w:p>
        </w:tc>
        <w:tc>
          <w:tcPr>
            <w:tcW w:w="1103" w:type="dxa"/>
            <w:noWrap/>
            <w:vAlign w:val="bottom"/>
            <w:hideMark/>
          </w:tcPr>
          <w:p w14:paraId="0CE9709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0.009</w:t>
            </w:r>
          </w:p>
        </w:tc>
        <w:tc>
          <w:tcPr>
            <w:tcW w:w="1134" w:type="dxa"/>
            <w:noWrap/>
            <w:vAlign w:val="bottom"/>
            <w:hideMark/>
          </w:tcPr>
          <w:p w14:paraId="7290286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0.901</w:t>
            </w:r>
          </w:p>
        </w:tc>
      </w:tr>
      <w:tr w:rsidR="00B10949" w:rsidRPr="008E58BD" w14:paraId="7787B5C7" w14:textId="77777777" w:rsidTr="00110C1E">
        <w:trPr>
          <w:trHeight w:val="255"/>
        </w:trPr>
        <w:tc>
          <w:tcPr>
            <w:tcW w:w="2405" w:type="dxa"/>
            <w:noWrap/>
            <w:vAlign w:val="bottom"/>
            <w:hideMark/>
          </w:tcPr>
          <w:p w14:paraId="7506AF96"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Perth &amp; Kinross</w:t>
            </w:r>
          </w:p>
        </w:tc>
        <w:tc>
          <w:tcPr>
            <w:tcW w:w="1102" w:type="dxa"/>
            <w:noWrap/>
            <w:vAlign w:val="bottom"/>
            <w:hideMark/>
          </w:tcPr>
          <w:p w14:paraId="1C8B160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4.612</w:t>
            </w:r>
          </w:p>
        </w:tc>
        <w:tc>
          <w:tcPr>
            <w:tcW w:w="1103" w:type="dxa"/>
            <w:noWrap/>
            <w:vAlign w:val="bottom"/>
            <w:hideMark/>
          </w:tcPr>
          <w:p w14:paraId="1ED8492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0.424</w:t>
            </w:r>
          </w:p>
        </w:tc>
        <w:tc>
          <w:tcPr>
            <w:tcW w:w="1102" w:type="dxa"/>
            <w:noWrap/>
            <w:vAlign w:val="bottom"/>
            <w:hideMark/>
          </w:tcPr>
          <w:p w14:paraId="6A7A613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0.305</w:t>
            </w:r>
          </w:p>
        </w:tc>
        <w:tc>
          <w:tcPr>
            <w:tcW w:w="1103" w:type="dxa"/>
            <w:noWrap/>
            <w:vAlign w:val="bottom"/>
            <w:hideMark/>
          </w:tcPr>
          <w:p w14:paraId="73F12A5D"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0.080</w:t>
            </w:r>
          </w:p>
        </w:tc>
        <w:tc>
          <w:tcPr>
            <w:tcW w:w="1102" w:type="dxa"/>
            <w:noWrap/>
            <w:vAlign w:val="bottom"/>
            <w:hideMark/>
          </w:tcPr>
          <w:p w14:paraId="05F31D6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0.316</w:t>
            </w:r>
          </w:p>
        </w:tc>
        <w:tc>
          <w:tcPr>
            <w:tcW w:w="1103" w:type="dxa"/>
            <w:noWrap/>
            <w:vAlign w:val="bottom"/>
            <w:hideMark/>
          </w:tcPr>
          <w:p w14:paraId="5ABB0C2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0.069</w:t>
            </w:r>
          </w:p>
        </w:tc>
        <w:tc>
          <w:tcPr>
            <w:tcW w:w="1134" w:type="dxa"/>
            <w:noWrap/>
            <w:vAlign w:val="bottom"/>
            <w:hideMark/>
          </w:tcPr>
          <w:p w14:paraId="54CDD59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5.806</w:t>
            </w:r>
          </w:p>
        </w:tc>
      </w:tr>
      <w:tr w:rsidR="00B10949" w:rsidRPr="008E58BD" w14:paraId="2D9FE1C6" w14:textId="77777777" w:rsidTr="00110C1E">
        <w:trPr>
          <w:trHeight w:val="255"/>
        </w:trPr>
        <w:tc>
          <w:tcPr>
            <w:tcW w:w="2405" w:type="dxa"/>
            <w:noWrap/>
            <w:vAlign w:val="bottom"/>
            <w:hideMark/>
          </w:tcPr>
          <w:p w14:paraId="2C558EC7"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Renfrewshire</w:t>
            </w:r>
          </w:p>
        </w:tc>
        <w:tc>
          <w:tcPr>
            <w:tcW w:w="1102" w:type="dxa"/>
            <w:noWrap/>
            <w:vAlign w:val="bottom"/>
            <w:hideMark/>
          </w:tcPr>
          <w:p w14:paraId="695328F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5.527</w:t>
            </w:r>
          </w:p>
        </w:tc>
        <w:tc>
          <w:tcPr>
            <w:tcW w:w="1103" w:type="dxa"/>
            <w:noWrap/>
            <w:vAlign w:val="bottom"/>
            <w:hideMark/>
          </w:tcPr>
          <w:p w14:paraId="36570F7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0.508</w:t>
            </w:r>
          </w:p>
        </w:tc>
        <w:tc>
          <w:tcPr>
            <w:tcW w:w="1102" w:type="dxa"/>
            <w:noWrap/>
            <w:vAlign w:val="bottom"/>
            <w:hideMark/>
          </w:tcPr>
          <w:p w14:paraId="44F9984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0.340</w:t>
            </w:r>
          </w:p>
        </w:tc>
        <w:tc>
          <w:tcPr>
            <w:tcW w:w="1103" w:type="dxa"/>
            <w:noWrap/>
            <w:vAlign w:val="bottom"/>
            <w:hideMark/>
          </w:tcPr>
          <w:p w14:paraId="3654D22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0.090</w:t>
            </w:r>
          </w:p>
        </w:tc>
        <w:tc>
          <w:tcPr>
            <w:tcW w:w="1102" w:type="dxa"/>
            <w:noWrap/>
            <w:vAlign w:val="bottom"/>
            <w:hideMark/>
          </w:tcPr>
          <w:p w14:paraId="6F0E4E7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0.396</w:t>
            </w:r>
          </w:p>
        </w:tc>
        <w:tc>
          <w:tcPr>
            <w:tcW w:w="1103" w:type="dxa"/>
            <w:noWrap/>
            <w:vAlign w:val="bottom"/>
            <w:hideMark/>
          </w:tcPr>
          <w:p w14:paraId="12E555E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0.086</w:t>
            </w:r>
          </w:p>
        </w:tc>
        <w:tc>
          <w:tcPr>
            <w:tcW w:w="1134" w:type="dxa"/>
            <w:noWrap/>
            <w:vAlign w:val="bottom"/>
            <w:hideMark/>
          </w:tcPr>
          <w:p w14:paraId="031DE9D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6.947</w:t>
            </w:r>
          </w:p>
        </w:tc>
      </w:tr>
      <w:tr w:rsidR="00B10949" w:rsidRPr="008E58BD" w14:paraId="583A53B0" w14:textId="77777777" w:rsidTr="00110C1E">
        <w:trPr>
          <w:trHeight w:val="255"/>
        </w:trPr>
        <w:tc>
          <w:tcPr>
            <w:tcW w:w="2405" w:type="dxa"/>
            <w:noWrap/>
            <w:vAlign w:val="bottom"/>
            <w:hideMark/>
          </w:tcPr>
          <w:p w14:paraId="69A54385"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Scottish Borders</w:t>
            </w:r>
          </w:p>
        </w:tc>
        <w:tc>
          <w:tcPr>
            <w:tcW w:w="1102" w:type="dxa"/>
            <w:noWrap/>
            <w:vAlign w:val="bottom"/>
            <w:hideMark/>
          </w:tcPr>
          <w:p w14:paraId="041C26F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3.814</w:t>
            </w:r>
          </w:p>
        </w:tc>
        <w:tc>
          <w:tcPr>
            <w:tcW w:w="1103" w:type="dxa"/>
            <w:noWrap/>
            <w:vAlign w:val="bottom"/>
            <w:hideMark/>
          </w:tcPr>
          <w:p w14:paraId="470F05C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0.350</w:t>
            </w:r>
          </w:p>
        </w:tc>
        <w:tc>
          <w:tcPr>
            <w:tcW w:w="1102" w:type="dxa"/>
            <w:noWrap/>
            <w:vAlign w:val="bottom"/>
            <w:hideMark/>
          </w:tcPr>
          <w:p w14:paraId="265C8FE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0.254</w:t>
            </w:r>
          </w:p>
        </w:tc>
        <w:tc>
          <w:tcPr>
            <w:tcW w:w="1103" w:type="dxa"/>
            <w:noWrap/>
            <w:vAlign w:val="bottom"/>
            <w:hideMark/>
          </w:tcPr>
          <w:p w14:paraId="4809AC7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0.067</w:t>
            </w:r>
          </w:p>
        </w:tc>
        <w:tc>
          <w:tcPr>
            <w:tcW w:w="1102" w:type="dxa"/>
            <w:noWrap/>
            <w:vAlign w:val="bottom"/>
            <w:hideMark/>
          </w:tcPr>
          <w:p w14:paraId="362A54B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0.216</w:t>
            </w:r>
          </w:p>
        </w:tc>
        <w:tc>
          <w:tcPr>
            <w:tcW w:w="1103" w:type="dxa"/>
            <w:noWrap/>
            <w:vAlign w:val="bottom"/>
            <w:hideMark/>
          </w:tcPr>
          <w:p w14:paraId="11015B4F"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0.047</w:t>
            </w:r>
          </w:p>
        </w:tc>
        <w:tc>
          <w:tcPr>
            <w:tcW w:w="1134" w:type="dxa"/>
            <w:noWrap/>
            <w:vAlign w:val="bottom"/>
            <w:hideMark/>
          </w:tcPr>
          <w:p w14:paraId="7C18A33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4.749</w:t>
            </w:r>
          </w:p>
        </w:tc>
      </w:tr>
      <w:tr w:rsidR="00B10949" w:rsidRPr="008E58BD" w14:paraId="3EB86C1E" w14:textId="77777777" w:rsidTr="00110C1E">
        <w:trPr>
          <w:trHeight w:val="255"/>
        </w:trPr>
        <w:tc>
          <w:tcPr>
            <w:tcW w:w="2405" w:type="dxa"/>
            <w:noWrap/>
            <w:vAlign w:val="bottom"/>
            <w:hideMark/>
          </w:tcPr>
          <w:p w14:paraId="50A9778E"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Shetland Islands</w:t>
            </w:r>
          </w:p>
        </w:tc>
        <w:tc>
          <w:tcPr>
            <w:tcW w:w="1102" w:type="dxa"/>
            <w:noWrap/>
            <w:vAlign w:val="bottom"/>
            <w:hideMark/>
          </w:tcPr>
          <w:p w14:paraId="105C5CA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0.641</w:t>
            </w:r>
          </w:p>
        </w:tc>
        <w:tc>
          <w:tcPr>
            <w:tcW w:w="1103" w:type="dxa"/>
            <w:noWrap/>
            <w:vAlign w:val="bottom"/>
            <w:hideMark/>
          </w:tcPr>
          <w:p w14:paraId="425B32E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0.059</w:t>
            </w:r>
          </w:p>
        </w:tc>
        <w:tc>
          <w:tcPr>
            <w:tcW w:w="1102" w:type="dxa"/>
            <w:noWrap/>
            <w:vAlign w:val="bottom"/>
            <w:hideMark/>
          </w:tcPr>
          <w:p w14:paraId="3FBBD52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0.067</w:t>
            </w:r>
          </w:p>
        </w:tc>
        <w:tc>
          <w:tcPr>
            <w:tcW w:w="1103" w:type="dxa"/>
            <w:noWrap/>
            <w:vAlign w:val="bottom"/>
            <w:hideMark/>
          </w:tcPr>
          <w:p w14:paraId="23EC225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0.018</w:t>
            </w:r>
          </w:p>
        </w:tc>
        <w:tc>
          <w:tcPr>
            <w:tcW w:w="1102" w:type="dxa"/>
            <w:noWrap/>
            <w:vAlign w:val="bottom"/>
            <w:hideMark/>
          </w:tcPr>
          <w:p w14:paraId="34EE24C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0.051</w:t>
            </w:r>
          </w:p>
        </w:tc>
        <w:tc>
          <w:tcPr>
            <w:tcW w:w="1103" w:type="dxa"/>
            <w:noWrap/>
            <w:vAlign w:val="bottom"/>
            <w:hideMark/>
          </w:tcPr>
          <w:p w14:paraId="2F065AA3"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0.011</w:t>
            </w:r>
          </w:p>
        </w:tc>
        <w:tc>
          <w:tcPr>
            <w:tcW w:w="1134" w:type="dxa"/>
            <w:noWrap/>
            <w:vAlign w:val="bottom"/>
            <w:hideMark/>
          </w:tcPr>
          <w:p w14:paraId="21CFDF5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0.846</w:t>
            </w:r>
          </w:p>
        </w:tc>
      </w:tr>
      <w:tr w:rsidR="00B10949" w:rsidRPr="008E58BD" w14:paraId="077D5D4F" w14:textId="77777777" w:rsidTr="00110C1E">
        <w:trPr>
          <w:trHeight w:val="255"/>
        </w:trPr>
        <w:tc>
          <w:tcPr>
            <w:tcW w:w="2405" w:type="dxa"/>
            <w:noWrap/>
            <w:vAlign w:val="bottom"/>
            <w:hideMark/>
          </w:tcPr>
          <w:p w14:paraId="44188E5E"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South Ayrshire</w:t>
            </w:r>
          </w:p>
        </w:tc>
        <w:tc>
          <w:tcPr>
            <w:tcW w:w="1102" w:type="dxa"/>
            <w:noWrap/>
            <w:vAlign w:val="bottom"/>
            <w:hideMark/>
          </w:tcPr>
          <w:p w14:paraId="7D1A935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3.858</w:t>
            </w:r>
          </w:p>
        </w:tc>
        <w:tc>
          <w:tcPr>
            <w:tcW w:w="1103" w:type="dxa"/>
            <w:noWrap/>
            <w:vAlign w:val="bottom"/>
            <w:hideMark/>
          </w:tcPr>
          <w:p w14:paraId="7F92B58F"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0.354</w:t>
            </w:r>
          </w:p>
        </w:tc>
        <w:tc>
          <w:tcPr>
            <w:tcW w:w="1102" w:type="dxa"/>
            <w:noWrap/>
            <w:vAlign w:val="bottom"/>
            <w:hideMark/>
          </w:tcPr>
          <w:p w14:paraId="3A4C2A0F"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0.211</w:t>
            </w:r>
          </w:p>
        </w:tc>
        <w:tc>
          <w:tcPr>
            <w:tcW w:w="1103" w:type="dxa"/>
            <w:noWrap/>
            <w:vAlign w:val="bottom"/>
            <w:hideMark/>
          </w:tcPr>
          <w:p w14:paraId="16F645B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0.056</w:t>
            </w:r>
          </w:p>
        </w:tc>
        <w:tc>
          <w:tcPr>
            <w:tcW w:w="1102" w:type="dxa"/>
            <w:noWrap/>
            <w:vAlign w:val="bottom"/>
            <w:hideMark/>
          </w:tcPr>
          <w:p w14:paraId="00DD1CC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0.201</w:t>
            </w:r>
          </w:p>
        </w:tc>
        <w:tc>
          <w:tcPr>
            <w:tcW w:w="1103" w:type="dxa"/>
            <w:noWrap/>
            <w:vAlign w:val="bottom"/>
            <w:hideMark/>
          </w:tcPr>
          <w:p w14:paraId="3DA6BB7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0.044</w:t>
            </w:r>
          </w:p>
        </w:tc>
        <w:tc>
          <w:tcPr>
            <w:tcW w:w="1134" w:type="dxa"/>
            <w:noWrap/>
            <w:vAlign w:val="bottom"/>
            <w:hideMark/>
          </w:tcPr>
          <w:p w14:paraId="407299A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4.725</w:t>
            </w:r>
          </w:p>
        </w:tc>
      </w:tr>
      <w:tr w:rsidR="00B10949" w:rsidRPr="008E58BD" w14:paraId="2F5EB81C" w14:textId="77777777" w:rsidTr="00110C1E">
        <w:trPr>
          <w:trHeight w:val="255"/>
        </w:trPr>
        <w:tc>
          <w:tcPr>
            <w:tcW w:w="2405" w:type="dxa"/>
            <w:noWrap/>
            <w:vAlign w:val="bottom"/>
            <w:hideMark/>
          </w:tcPr>
          <w:p w14:paraId="6F7157AB"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South Lanarkshire</w:t>
            </w:r>
          </w:p>
        </w:tc>
        <w:tc>
          <w:tcPr>
            <w:tcW w:w="1102" w:type="dxa"/>
            <w:noWrap/>
            <w:vAlign w:val="bottom"/>
            <w:hideMark/>
          </w:tcPr>
          <w:p w14:paraId="6A3D2F4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9.896</w:t>
            </w:r>
          </w:p>
        </w:tc>
        <w:tc>
          <w:tcPr>
            <w:tcW w:w="1103" w:type="dxa"/>
            <w:noWrap/>
            <w:vAlign w:val="bottom"/>
            <w:hideMark/>
          </w:tcPr>
          <w:p w14:paraId="484AE5C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0.909</w:t>
            </w:r>
          </w:p>
        </w:tc>
        <w:tc>
          <w:tcPr>
            <w:tcW w:w="1102" w:type="dxa"/>
            <w:noWrap/>
            <w:vAlign w:val="bottom"/>
            <w:hideMark/>
          </w:tcPr>
          <w:p w14:paraId="7C5E8F6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0.645</w:t>
            </w:r>
          </w:p>
        </w:tc>
        <w:tc>
          <w:tcPr>
            <w:tcW w:w="1103" w:type="dxa"/>
            <w:noWrap/>
            <w:vAlign w:val="bottom"/>
            <w:hideMark/>
          </w:tcPr>
          <w:p w14:paraId="52AF9F5B"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0.170</w:t>
            </w:r>
          </w:p>
        </w:tc>
        <w:tc>
          <w:tcPr>
            <w:tcW w:w="1102" w:type="dxa"/>
            <w:noWrap/>
            <w:vAlign w:val="bottom"/>
            <w:hideMark/>
          </w:tcPr>
          <w:p w14:paraId="3681508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0.701</w:t>
            </w:r>
          </w:p>
        </w:tc>
        <w:tc>
          <w:tcPr>
            <w:tcW w:w="1103" w:type="dxa"/>
            <w:noWrap/>
            <w:vAlign w:val="bottom"/>
            <w:hideMark/>
          </w:tcPr>
          <w:p w14:paraId="19FB4F85"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0.153</w:t>
            </w:r>
          </w:p>
        </w:tc>
        <w:tc>
          <w:tcPr>
            <w:tcW w:w="1134" w:type="dxa"/>
            <w:noWrap/>
            <w:vAlign w:val="bottom"/>
            <w:hideMark/>
          </w:tcPr>
          <w:p w14:paraId="59265A3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12.475</w:t>
            </w:r>
          </w:p>
        </w:tc>
      </w:tr>
      <w:tr w:rsidR="00B10949" w:rsidRPr="008E58BD" w14:paraId="4BD1E28B" w14:textId="77777777" w:rsidTr="00110C1E">
        <w:trPr>
          <w:trHeight w:val="255"/>
        </w:trPr>
        <w:tc>
          <w:tcPr>
            <w:tcW w:w="2405" w:type="dxa"/>
            <w:noWrap/>
            <w:vAlign w:val="bottom"/>
            <w:hideMark/>
          </w:tcPr>
          <w:p w14:paraId="5FC9C763"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Stirling</w:t>
            </w:r>
          </w:p>
        </w:tc>
        <w:tc>
          <w:tcPr>
            <w:tcW w:w="1102" w:type="dxa"/>
            <w:noWrap/>
            <w:vAlign w:val="bottom"/>
            <w:hideMark/>
          </w:tcPr>
          <w:p w14:paraId="5AF30A2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2.520</w:t>
            </w:r>
          </w:p>
        </w:tc>
        <w:tc>
          <w:tcPr>
            <w:tcW w:w="1103" w:type="dxa"/>
            <w:noWrap/>
            <w:vAlign w:val="bottom"/>
            <w:hideMark/>
          </w:tcPr>
          <w:p w14:paraId="38D9C7FF"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0.232</w:t>
            </w:r>
          </w:p>
        </w:tc>
        <w:tc>
          <w:tcPr>
            <w:tcW w:w="1102" w:type="dxa"/>
            <w:noWrap/>
            <w:vAlign w:val="bottom"/>
            <w:hideMark/>
          </w:tcPr>
          <w:p w14:paraId="15DA5A34"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0.173</w:t>
            </w:r>
          </w:p>
        </w:tc>
        <w:tc>
          <w:tcPr>
            <w:tcW w:w="1103" w:type="dxa"/>
            <w:noWrap/>
            <w:vAlign w:val="bottom"/>
            <w:hideMark/>
          </w:tcPr>
          <w:p w14:paraId="74C34B3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0.046</w:t>
            </w:r>
          </w:p>
        </w:tc>
        <w:tc>
          <w:tcPr>
            <w:tcW w:w="1102" w:type="dxa"/>
            <w:noWrap/>
            <w:vAlign w:val="bottom"/>
            <w:hideMark/>
          </w:tcPr>
          <w:p w14:paraId="03286987"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0.178</w:t>
            </w:r>
          </w:p>
        </w:tc>
        <w:tc>
          <w:tcPr>
            <w:tcW w:w="1103" w:type="dxa"/>
            <w:noWrap/>
            <w:vAlign w:val="bottom"/>
            <w:hideMark/>
          </w:tcPr>
          <w:p w14:paraId="40650189"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0.039</w:t>
            </w:r>
          </w:p>
        </w:tc>
        <w:tc>
          <w:tcPr>
            <w:tcW w:w="1134" w:type="dxa"/>
            <w:noWrap/>
            <w:vAlign w:val="bottom"/>
            <w:hideMark/>
          </w:tcPr>
          <w:p w14:paraId="7DF8C60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3.187</w:t>
            </w:r>
          </w:p>
        </w:tc>
      </w:tr>
      <w:tr w:rsidR="00B10949" w:rsidRPr="008E58BD" w14:paraId="7EA92E60" w14:textId="77777777" w:rsidTr="00110C1E">
        <w:trPr>
          <w:trHeight w:val="255"/>
        </w:trPr>
        <w:tc>
          <w:tcPr>
            <w:tcW w:w="2405" w:type="dxa"/>
            <w:noWrap/>
            <w:vAlign w:val="bottom"/>
            <w:hideMark/>
          </w:tcPr>
          <w:p w14:paraId="4DECCCD5"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West Dunbartonshire</w:t>
            </w:r>
          </w:p>
        </w:tc>
        <w:tc>
          <w:tcPr>
            <w:tcW w:w="1102" w:type="dxa"/>
            <w:noWrap/>
            <w:vAlign w:val="bottom"/>
            <w:hideMark/>
          </w:tcPr>
          <w:p w14:paraId="107AD52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2.870</w:t>
            </w:r>
          </w:p>
        </w:tc>
        <w:tc>
          <w:tcPr>
            <w:tcW w:w="1103" w:type="dxa"/>
            <w:noWrap/>
            <w:vAlign w:val="bottom"/>
            <w:hideMark/>
          </w:tcPr>
          <w:p w14:paraId="535027D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0.264</w:t>
            </w:r>
          </w:p>
        </w:tc>
        <w:tc>
          <w:tcPr>
            <w:tcW w:w="1102" w:type="dxa"/>
            <w:noWrap/>
            <w:vAlign w:val="bottom"/>
            <w:hideMark/>
          </w:tcPr>
          <w:p w14:paraId="4515217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0.201</w:t>
            </w:r>
          </w:p>
        </w:tc>
        <w:tc>
          <w:tcPr>
            <w:tcW w:w="1103" w:type="dxa"/>
            <w:noWrap/>
            <w:vAlign w:val="bottom"/>
            <w:hideMark/>
          </w:tcPr>
          <w:p w14:paraId="56B0F10C"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0.053</w:t>
            </w:r>
          </w:p>
        </w:tc>
        <w:tc>
          <w:tcPr>
            <w:tcW w:w="1102" w:type="dxa"/>
            <w:noWrap/>
            <w:vAlign w:val="bottom"/>
            <w:hideMark/>
          </w:tcPr>
          <w:p w14:paraId="5D1C4302"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0.208</w:t>
            </w:r>
          </w:p>
        </w:tc>
        <w:tc>
          <w:tcPr>
            <w:tcW w:w="1103" w:type="dxa"/>
            <w:noWrap/>
            <w:vAlign w:val="bottom"/>
            <w:hideMark/>
          </w:tcPr>
          <w:p w14:paraId="204381EA"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0.045</w:t>
            </w:r>
          </w:p>
        </w:tc>
        <w:tc>
          <w:tcPr>
            <w:tcW w:w="1134" w:type="dxa"/>
            <w:noWrap/>
            <w:vAlign w:val="bottom"/>
            <w:hideMark/>
          </w:tcPr>
          <w:p w14:paraId="58DBADD8"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3.640</w:t>
            </w:r>
          </w:p>
        </w:tc>
      </w:tr>
      <w:tr w:rsidR="00B10949" w:rsidRPr="008E58BD" w14:paraId="28DEB24C" w14:textId="77777777" w:rsidTr="00110C1E">
        <w:trPr>
          <w:trHeight w:val="255"/>
        </w:trPr>
        <w:tc>
          <w:tcPr>
            <w:tcW w:w="2405" w:type="dxa"/>
            <w:noWrap/>
            <w:vAlign w:val="bottom"/>
            <w:hideMark/>
          </w:tcPr>
          <w:p w14:paraId="3B652331" w14:textId="77777777" w:rsidR="00B10949" w:rsidRPr="008E58BD" w:rsidRDefault="00B10949" w:rsidP="00B10949">
            <w:pPr>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West Lothian</w:t>
            </w:r>
          </w:p>
        </w:tc>
        <w:tc>
          <w:tcPr>
            <w:tcW w:w="1102" w:type="dxa"/>
            <w:noWrap/>
            <w:vAlign w:val="bottom"/>
            <w:hideMark/>
          </w:tcPr>
          <w:p w14:paraId="3203F4A1"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4.823</w:t>
            </w:r>
          </w:p>
        </w:tc>
        <w:tc>
          <w:tcPr>
            <w:tcW w:w="1103" w:type="dxa"/>
            <w:noWrap/>
            <w:vAlign w:val="bottom"/>
            <w:hideMark/>
          </w:tcPr>
          <w:p w14:paraId="5CCC988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0.443</w:t>
            </w:r>
          </w:p>
        </w:tc>
        <w:tc>
          <w:tcPr>
            <w:tcW w:w="1102" w:type="dxa"/>
            <w:noWrap/>
            <w:vAlign w:val="bottom"/>
            <w:hideMark/>
          </w:tcPr>
          <w:p w14:paraId="30057826"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0.402</w:t>
            </w:r>
          </w:p>
        </w:tc>
        <w:tc>
          <w:tcPr>
            <w:tcW w:w="1103" w:type="dxa"/>
            <w:noWrap/>
            <w:vAlign w:val="bottom"/>
            <w:hideMark/>
          </w:tcPr>
          <w:p w14:paraId="5CDF073F"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0.106</w:t>
            </w:r>
          </w:p>
        </w:tc>
        <w:tc>
          <w:tcPr>
            <w:tcW w:w="1102" w:type="dxa"/>
            <w:noWrap/>
            <w:vAlign w:val="bottom"/>
            <w:hideMark/>
          </w:tcPr>
          <w:p w14:paraId="7325D3A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0.416</w:t>
            </w:r>
          </w:p>
        </w:tc>
        <w:tc>
          <w:tcPr>
            <w:tcW w:w="1103" w:type="dxa"/>
            <w:noWrap/>
            <w:vAlign w:val="bottom"/>
            <w:hideMark/>
          </w:tcPr>
          <w:p w14:paraId="0D3495DE"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0.091</w:t>
            </w:r>
          </w:p>
        </w:tc>
        <w:tc>
          <w:tcPr>
            <w:tcW w:w="1134" w:type="dxa"/>
            <w:noWrap/>
            <w:vAlign w:val="bottom"/>
            <w:hideMark/>
          </w:tcPr>
          <w:p w14:paraId="35661920" w14:textId="77777777" w:rsidR="00B10949" w:rsidRPr="008E58BD" w:rsidRDefault="00B10949" w:rsidP="00B10949">
            <w:pPr>
              <w:jc w:val="right"/>
              <w:rPr>
                <w:rFonts w:eastAsia="Times New Roman" w:cs="Arial"/>
                <w:kern w:val="0"/>
                <w:sz w:val="21"/>
                <w:szCs w:val="21"/>
                <w:lang w:eastAsia="en-GB"/>
                <w14:ligatures w14:val="none"/>
              </w:rPr>
            </w:pPr>
            <w:r w:rsidRPr="008E58BD">
              <w:rPr>
                <w:rFonts w:eastAsia="Times New Roman" w:cs="Arial"/>
                <w:kern w:val="0"/>
                <w:sz w:val="21"/>
                <w:szCs w:val="21"/>
                <w:lang w:eastAsia="en-GB"/>
                <w14:ligatures w14:val="none"/>
              </w:rPr>
              <w:t>6.281</w:t>
            </w:r>
          </w:p>
        </w:tc>
      </w:tr>
      <w:tr w:rsidR="00B10949" w:rsidRPr="008E58BD" w14:paraId="46E77477" w14:textId="77777777" w:rsidTr="00110C1E">
        <w:trPr>
          <w:trHeight w:val="255"/>
        </w:trPr>
        <w:tc>
          <w:tcPr>
            <w:tcW w:w="2405" w:type="dxa"/>
            <w:noWrap/>
            <w:vAlign w:val="bottom"/>
            <w:hideMark/>
          </w:tcPr>
          <w:p w14:paraId="026AE701" w14:textId="77777777" w:rsidR="00B10949" w:rsidRPr="008E58BD" w:rsidRDefault="00B10949" w:rsidP="00B10949">
            <w:pPr>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Total</w:t>
            </w:r>
          </w:p>
        </w:tc>
        <w:tc>
          <w:tcPr>
            <w:tcW w:w="1102" w:type="dxa"/>
            <w:noWrap/>
            <w:vAlign w:val="bottom"/>
            <w:hideMark/>
          </w:tcPr>
          <w:p w14:paraId="5A2CB939" w14:textId="77777777" w:rsidR="00B10949" w:rsidRPr="008E58BD" w:rsidRDefault="00B10949" w:rsidP="00B10949">
            <w:pPr>
              <w:jc w:val="right"/>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160.000</w:t>
            </w:r>
          </w:p>
        </w:tc>
        <w:tc>
          <w:tcPr>
            <w:tcW w:w="1103" w:type="dxa"/>
            <w:noWrap/>
            <w:vAlign w:val="bottom"/>
            <w:hideMark/>
          </w:tcPr>
          <w:p w14:paraId="00CAB1D4" w14:textId="77777777" w:rsidR="00B10949" w:rsidRPr="008E58BD" w:rsidRDefault="00B10949" w:rsidP="00B10949">
            <w:pPr>
              <w:jc w:val="right"/>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14.700</w:t>
            </w:r>
          </w:p>
        </w:tc>
        <w:tc>
          <w:tcPr>
            <w:tcW w:w="1102" w:type="dxa"/>
            <w:noWrap/>
            <w:vAlign w:val="bottom"/>
            <w:hideMark/>
          </w:tcPr>
          <w:p w14:paraId="7B14CEA1" w14:textId="77777777" w:rsidR="00B10949" w:rsidRPr="008E58BD" w:rsidRDefault="00B10949" w:rsidP="00B10949">
            <w:pPr>
              <w:jc w:val="right"/>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11.000</w:t>
            </w:r>
          </w:p>
        </w:tc>
        <w:tc>
          <w:tcPr>
            <w:tcW w:w="1103" w:type="dxa"/>
            <w:noWrap/>
            <w:vAlign w:val="bottom"/>
            <w:hideMark/>
          </w:tcPr>
          <w:p w14:paraId="6847F4AB" w14:textId="77777777" w:rsidR="00B10949" w:rsidRPr="008E58BD" w:rsidRDefault="00B10949" w:rsidP="00B10949">
            <w:pPr>
              <w:jc w:val="right"/>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2.900</w:t>
            </w:r>
          </w:p>
        </w:tc>
        <w:tc>
          <w:tcPr>
            <w:tcW w:w="1102" w:type="dxa"/>
            <w:noWrap/>
            <w:vAlign w:val="bottom"/>
            <w:hideMark/>
          </w:tcPr>
          <w:p w14:paraId="2B822501" w14:textId="77777777" w:rsidR="00B10949" w:rsidRPr="008E58BD" w:rsidRDefault="00B10949" w:rsidP="00B10949">
            <w:pPr>
              <w:jc w:val="right"/>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11.000</w:t>
            </w:r>
          </w:p>
        </w:tc>
        <w:tc>
          <w:tcPr>
            <w:tcW w:w="1103" w:type="dxa"/>
            <w:noWrap/>
            <w:vAlign w:val="bottom"/>
            <w:hideMark/>
          </w:tcPr>
          <w:p w14:paraId="3AD26BE2" w14:textId="77777777" w:rsidR="00B10949" w:rsidRPr="008E58BD" w:rsidRDefault="00B10949" w:rsidP="00B10949">
            <w:pPr>
              <w:jc w:val="right"/>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2.400</w:t>
            </w:r>
          </w:p>
        </w:tc>
        <w:tc>
          <w:tcPr>
            <w:tcW w:w="1134" w:type="dxa"/>
            <w:noWrap/>
            <w:vAlign w:val="bottom"/>
            <w:hideMark/>
          </w:tcPr>
          <w:p w14:paraId="358192BF" w14:textId="77777777" w:rsidR="00B10949" w:rsidRPr="008E58BD" w:rsidRDefault="00B10949" w:rsidP="00B10949">
            <w:pPr>
              <w:jc w:val="right"/>
              <w:rPr>
                <w:rFonts w:eastAsia="Times New Roman" w:cs="Arial"/>
                <w:b/>
                <w:bCs/>
                <w:kern w:val="0"/>
                <w:sz w:val="21"/>
                <w:szCs w:val="21"/>
                <w:lang w:eastAsia="en-GB"/>
                <w14:ligatures w14:val="none"/>
              </w:rPr>
            </w:pPr>
            <w:r w:rsidRPr="008E58BD">
              <w:rPr>
                <w:rFonts w:eastAsia="Times New Roman" w:cs="Arial"/>
                <w:b/>
                <w:bCs/>
                <w:kern w:val="0"/>
                <w:sz w:val="21"/>
                <w:szCs w:val="21"/>
                <w:lang w:eastAsia="en-GB"/>
                <w14:ligatures w14:val="none"/>
              </w:rPr>
              <w:t>202.000</w:t>
            </w:r>
          </w:p>
        </w:tc>
      </w:tr>
    </w:tbl>
    <w:p w14:paraId="7946E6AE" w14:textId="2C6CB801" w:rsidR="00B10949" w:rsidRDefault="00AC2786" w:rsidP="00B10949">
      <w:r>
        <w:t>All calculations by SWS</w:t>
      </w:r>
    </w:p>
    <w:p w14:paraId="1FFE825F" w14:textId="77777777" w:rsidR="00B10949" w:rsidRDefault="00B10949" w:rsidP="00B10949"/>
    <w:p w14:paraId="78F5818A" w14:textId="7D779347" w:rsidR="00B10949" w:rsidRDefault="00B10949">
      <w:r>
        <w:br w:type="page"/>
      </w:r>
    </w:p>
    <w:p w14:paraId="56263FDA" w14:textId="39FA634B" w:rsidR="006A31C4" w:rsidRPr="00806229" w:rsidRDefault="006A31C4" w:rsidP="006A31C4">
      <w:pPr>
        <w:rPr>
          <w:b/>
          <w:bCs/>
          <w:sz w:val="24"/>
          <w:szCs w:val="24"/>
        </w:rPr>
      </w:pPr>
      <w:r>
        <w:rPr>
          <w:b/>
          <w:bCs/>
          <w:sz w:val="24"/>
          <w:szCs w:val="24"/>
        </w:rPr>
        <w:lastRenderedPageBreak/>
        <w:t>L</w:t>
      </w:r>
      <w:r w:rsidRPr="00806229">
        <w:rPr>
          <w:b/>
          <w:bCs/>
          <w:sz w:val="24"/>
          <w:szCs w:val="24"/>
        </w:rPr>
        <w:t xml:space="preserve">ocal authority shares of 2026-27 </w:t>
      </w:r>
      <w:r>
        <w:rPr>
          <w:b/>
          <w:bCs/>
          <w:sz w:val="24"/>
          <w:szCs w:val="24"/>
        </w:rPr>
        <w:t xml:space="preserve">social care </w:t>
      </w:r>
      <w:r w:rsidRPr="00806229">
        <w:rPr>
          <w:b/>
          <w:bCs/>
          <w:sz w:val="24"/>
          <w:szCs w:val="24"/>
        </w:rPr>
        <w:t xml:space="preserve">increases </w:t>
      </w:r>
    </w:p>
    <w:p w14:paraId="146C820A" w14:textId="77777777" w:rsidR="006A31C4" w:rsidRDefault="006A31C4" w:rsidP="006A31C4">
      <w:pPr>
        <w:rPr>
          <w:b/>
          <w:bCs/>
          <w:sz w:val="24"/>
          <w:szCs w:val="24"/>
        </w:rPr>
      </w:pPr>
    </w:p>
    <w:p w14:paraId="2B14B798" w14:textId="77777777" w:rsidR="00AC2786" w:rsidRDefault="008B64E2" w:rsidP="006A31C4">
      <w:pPr>
        <w:rPr>
          <w:rFonts w:eastAsia="Times New Roman" w:cs="Arial"/>
          <w:b/>
          <w:bCs/>
          <w:kern w:val="0"/>
          <w:sz w:val="24"/>
          <w:szCs w:val="24"/>
          <w:lang w:eastAsia="en-GB"/>
          <w14:ligatures w14:val="none"/>
        </w:rPr>
      </w:pPr>
      <w:r>
        <w:rPr>
          <w:b/>
          <w:bCs/>
          <w:sz w:val="24"/>
          <w:szCs w:val="24"/>
        </w:rPr>
        <w:t>A</w:t>
      </w:r>
      <w:r w:rsidR="006A31C4">
        <w:rPr>
          <w:b/>
          <w:bCs/>
          <w:sz w:val="24"/>
          <w:szCs w:val="24"/>
        </w:rPr>
        <w:t>2</w:t>
      </w:r>
      <w:r w:rsidR="006A31C4" w:rsidRPr="008E58BD">
        <w:rPr>
          <w:b/>
          <w:bCs/>
          <w:sz w:val="24"/>
          <w:szCs w:val="24"/>
        </w:rPr>
        <w:t xml:space="preserve">: </w:t>
      </w:r>
      <w:r w:rsidR="006A31C4">
        <w:rPr>
          <w:rFonts w:eastAsia="Times New Roman" w:cs="Arial"/>
          <w:b/>
          <w:bCs/>
          <w:kern w:val="0"/>
          <w:sz w:val="24"/>
          <w:szCs w:val="24"/>
          <w:lang w:eastAsia="en-GB"/>
          <w14:ligatures w14:val="none"/>
        </w:rPr>
        <w:t xml:space="preserve">TOTAL KNOWN FUNDING INCREASES </w:t>
      </w:r>
      <w:r w:rsidR="001A6F0F">
        <w:rPr>
          <w:rFonts w:eastAsia="Times New Roman" w:cs="Arial"/>
          <w:b/>
          <w:bCs/>
          <w:kern w:val="0"/>
          <w:sz w:val="24"/>
          <w:szCs w:val="24"/>
          <w:lang w:eastAsia="en-GB"/>
          <w14:ligatures w14:val="none"/>
        </w:rPr>
        <w:t>for Adult Social Care and Chil</w:t>
      </w:r>
      <w:r w:rsidR="006A31C4">
        <w:rPr>
          <w:rFonts w:eastAsia="Times New Roman" w:cs="Arial"/>
          <w:b/>
          <w:bCs/>
          <w:kern w:val="0"/>
          <w:sz w:val="24"/>
          <w:szCs w:val="24"/>
          <w:lang w:eastAsia="en-GB"/>
          <w14:ligatures w14:val="none"/>
        </w:rPr>
        <w:t xml:space="preserve">dren’s </w:t>
      </w:r>
      <w:r w:rsidR="001A6F0F">
        <w:rPr>
          <w:rFonts w:eastAsia="Times New Roman" w:cs="Arial"/>
          <w:b/>
          <w:bCs/>
          <w:kern w:val="0"/>
          <w:sz w:val="24"/>
          <w:szCs w:val="24"/>
          <w:lang w:eastAsia="en-GB"/>
          <w14:ligatures w14:val="none"/>
        </w:rPr>
        <w:t>Social Work Services</w:t>
      </w:r>
    </w:p>
    <w:p w14:paraId="21C56611" w14:textId="46454D0A" w:rsidR="006A31C4" w:rsidRPr="00AC2786" w:rsidRDefault="00AC2786" w:rsidP="006A31C4">
      <w:pPr>
        <w:rPr>
          <w:rFonts w:eastAsia="Times New Roman" w:cs="Arial"/>
          <w:kern w:val="0"/>
          <w:lang w:eastAsia="en-GB"/>
          <w14:ligatures w14:val="none"/>
        </w:rPr>
      </w:pPr>
      <w:r w:rsidRPr="00AC2786">
        <w:rPr>
          <w:rFonts w:eastAsia="Times New Roman" w:cs="Arial"/>
          <w:kern w:val="0"/>
          <w:lang w:eastAsia="en-GB"/>
          <w14:ligatures w14:val="none"/>
        </w:rPr>
        <w:t xml:space="preserve">Increases for </w:t>
      </w:r>
      <w:r w:rsidR="001A6F0F" w:rsidRPr="00AC2786">
        <w:rPr>
          <w:rFonts w:eastAsia="Times New Roman" w:cs="Arial"/>
          <w:kern w:val="0"/>
          <w:lang w:eastAsia="en-GB"/>
          <w14:ligatures w14:val="none"/>
        </w:rPr>
        <w:t>Justice Social Work</w:t>
      </w:r>
      <w:r w:rsidRPr="00AC2786">
        <w:rPr>
          <w:rFonts w:eastAsia="Times New Roman" w:cs="Arial"/>
          <w:kern w:val="0"/>
          <w:lang w:eastAsia="en-GB"/>
          <w14:ligatures w14:val="none"/>
        </w:rPr>
        <w:t xml:space="preserve">, the </w:t>
      </w:r>
      <w:r w:rsidRPr="00AC2786">
        <w:t>Whole Family Wellbeing Fund, Total RLW uplifts for ELC</w:t>
      </w:r>
      <w:r w:rsidR="001A6F0F" w:rsidRPr="00AC2786">
        <w:rPr>
          <w:rFonts w:eastAsia="Times New Roman" w:cs="Arial"/>
          <w:kern w:val="0"/>
          <w:lang w:eastAsia="en-GB"/>
          <w14:ligatures w14:val="none"/>
        </w:rPr>
        <w:t xml:space="preserve"> </w:t>
      </w:r>
      <w:r w:rsidRPr="00AC2786">
        <w:rPr>
          <w:rFonts w:eastAsia="Times New Roman" w:cs="Arial"/>
          <w:kern w:val="0"/>
          <w:lang w:eastAsia="en-GB"/>
          <w14:ligatures w14:val="none"/>
        </w:rPr>
        <w:t>are</w:t>
      </w:r>
      <w:r w:rsidR="001A6F0F" w:rsidRPr="00AC2786">
        <w:rPr>
          <w:rFonts w:eastAsia="Times New Roman" w:cs="Arial"/>
          <w:kern w:val="0"/>
          <w:lang w:eastAsia="en-GB"/>
          <w14:ligatures w14:val="none"/>
        </w:rPr>
        <w:t xml:space="preserve"> on the </w:t>
      </w:r>
      <w:r w:rsidR="006A31C4" w:rsidRPr="008E58BD">
        <w:rPr>
          <w:rFonts w:eastAsia="Times New Roman" w:cs="Arial"/>
          <w:kern w:val="0"/>
          <w:lang w:eastAsia="en-GB"/>
          <w14:ligatures w14:val="none"/>
        </w:rPr>
        <w:t>next page</w:t>
      </w:r>
      <w:r w:rsidR="0098544C">
        <w:rPr>
          <w:rFonts w:eastAsia="Times New Roman" w:cs="Arial"/>
          <w:kern w:val="0"/>
          <w:lang w:eastAsia="en-GB"/>
          <w14:ligatures w14:val="none"/>
        </w:rPr>
        <w:t xml:space="preserve"> (Table A3).</w:t>
      </w:r>
    </w:p>
    <w:p w14:paraId="7F78DC74" w14:textId="77777777" w:rsidR="006A31C4" w:rsidRPr="00110C1E" w:rsidRDefault="006A31C4" w:rsidP="006A31C4">
      <w:pPr>
        <w:rPr>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3"/>
        <w:gridCol w:w="1133"/>
        <w:gridCol w:w="1133"/>
        <w:gridCol w:w="1134"/>
        <w:gridCol w:w="1133"/>
        <w:gridCol w:w="1133"/>
        <w:gridCol w:w="1134"/>
      </w:tblGrid>
      <w:tr w:rsidR="001A6F0F" w:rsidRPr="006A31C4" w14:paraId="6CC3E086" w14:textId="77777777" w:rsidTr="001A6F0F">
        <w:trPr>
          <w:trHeight w:val="315"/>
        </w:trPr>
        <w:tc>
          <w:tcPr>
            <w:tcW w:w="2268" w:type="dxa"/>
            <w:noWrap/>
            <w:vAlign w:val="center"/>
            <w:hideMark/>
          </w:tcPr>
          <w:p w14:paraId="10645DBE" w14:textId="77777777" w:rsidR="001A6F0F" w:rsidRPr="006A31C4" w:rsidRDefault="001A6F0F" w:rsidP="001A6F0F">
            <w:pPr>
              <w:jc w:val="center"/>
              <w:rPr>
                <w:rFonts w:eastAsia="Times New Roman" w:cs="Arial"/>
                <w:kern w:val="0"/>
                <w:sz w:val="21"/>
                <w:szCs w:val="21"/>
                <w:lang w:eastAsia="en-GB"/>
                <w14:ligatures w14:val="none"/>
              </w:rPr>
            </w:pPr>
          </w:p>
        </w:tc>
        <w:tc>
          <w:tcPr>
            <w:tcW w:w="1133" w:type="dxa"/>
            <w:noWrap/>
            <w:vAlign w:val="center"/>
            <w:hideMark/>
          </w:tcPr>
          <w:p w14:paraId="756D0CDE" w14:textId="77777777" w:rsidR="001A6F0F" w:rsidRPr="006A31C4" w:rsidRDefault="001A6F0F" w:rsidP="001A6F0F">
            <w:pPr>
              <w:jc w:val="center"/>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RLW</w:t>
            </w:r>
          </w:p>
        </w:tc>
        <w:tc>
          <w:tcPr>
            <w:tcW w:w="1133" w:type="dxa"/>
            <w:noWrap/>
            <w:vAlign w:val="center"/>
            <w:hideMark/>
          </w:tcPr>
          <w:p w14:paraId="73939F55" w14:textId="77777777" w:rsidR="001A6F0F" w:rsidRPr="006A31C4" w:rsidRDefault="001A6F0F" w:rsidP="001A6F0F">
            <w:pPr>
              <w:jc w:val="center"/>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FPNC</w:t>
            </w:r>
          </w:p>
        </w:tc>
        <w:tc>
          <w:tcPr>
            <w:tcW w:w="1133" w:type="dxa"/>
            <w:noWrap/>
            <w:vAlign w:val="center"/>
            <w:hideMark/>
          </w:tcPr>
          <w:p w14:paraId="01546782" w14:textId="77777777" w:rsidR="001A6F0F" w:rsidRPr="006A31C4" w:rsidRDefault="001A6F0F" w:rsidP="001A6F0F">
            <w:pPr>
              <w:jc w:val="center"/>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TOTAL</w:t>
            </w:r>
          </w:p>
        </w:tc>
        <w:tc>
          <w:tcPr>
            <w:tcW w:w="1134" w:type="dxa"/>
            <w:noWrap/>
            <w:vAlign w:val="center"/>
            <w:hideMark/>
          </w:tcPr>
          <w:p w14:paraId="1E13A1CC" w14:textId="77777777" w:rsidR="001A6F0F" w:rsidRPr="006A31C4" w:rsidRDefault="001A6F0F" w:rsidP="001A6F0F">
            <w:pPr>
              <w:jc w:val="center"/>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RLW</w:t>
            </w:r>
          </w:p>
        </w:tc>
        <w:tc>
          <w:tcPr>
            <w:tcW w:w="2266" w:type="dxa"/>
            <w:gridSpan w:val="2"/>
            <w:noWrap/>
            <w:vAlign w:val="center"/>
            <w:hideMark/>
          </w:tcPr>
          <w:p w14:paraId="22B2D6E6" w14:textId="6DDF0840" w:rsidR="001A6F0F" w:rsidRPr="006A31C4" w:rsidRDefault="001A6F0F" w:rsidP="001A6F0F">
            <w:pPr>
              <w:jc w:val="center"/>
              <w:rPr>
                <w:rFonts w:eastAsia="Times New Roman" w:cs="Arial"/>
                <w:b/>
                <w:bCs/>
                <w:kern w:val="0"/>
                <w:sz w:val="21"/>
                <w:szCs w:val="21"/>
                <w:lang w:eastAsia="en-GB"/>
                <w14:ligatures w14:val="none"/>
              </w:rPr>
            </w:pPr>
            <w:r w:rsidRPr="001A6F0F">
              <w:rPr>
                <w:rFonts w:eastAsia="Times New Roman" w:cs="Arial"/>
                <w:b/>
                <w:bCs/>
                <w:kern w:val="0"/>
                <w:sz w:val="21"/>
                <w:szCs w:val="21"/>
                <w:lang w:eastAsia="en-GB"/>
                <w14:ligatures w14:val="none"/>
              </w:rPr>
              <w:t>Legislation</w:t>
            </w:r>
          </w:p>
        </w:tc>
        <w:tc>
          <w:tcPr>
            <w:tcW w:w="1134" w:type="dxa"/>
            <w:noWrap/>
            <w:vAlign w:val="center"/>
            <w:hideMark/>
          </w:tcPr>
          <w:p w14:paraId="41EAEE47" w14:textId="2D950700" w:rsidR="001A6F0F" w:rsidRPr="006A31C4" w:rsidRDefault="001A6F0F" w:rsidP="001A6F0F">
            <w:pPr>
              <w:jc w:val="center"/>
              <w:rPr>
                <w:rFonts w:eastAsia="Times New Roman" w:cs="Arial"/>
                <w:kern w:val="0"/>
                <w:sz w:val="21"/>
                <w:szCs w:val="21"/>
                <w:lang w:eastAsia="en-GB"/>
                <w14:ligatures w14:val="none"/>
              </w:rPr>
            </w:pPr>
            <w:r w:rsidRPr="006A31C4">
              <w:rPr>
                <w:rFonts w:eastAsia="Times New Roman" w:cs="Arial"/>
                <w:b/>
                <w:bCs/>
                <w:kern w:val="0"/>
                <w:sz w:val="21"/>
                <w:szCs w:val="21"/>
                <w:lang w:eastAsia="en-GB"/>
                <w14:ligatures w14:val="none"/>
              </w:rPr>
              <w:t>TOTAL</w:t>
            </w:r>
          </w:p>
        </w:tc>
      </w:tr>
      <w:tr w:rsidR="001A6F0F" w:rsidRPr="006A31C4" w14:paraId="09D6004A" w14:textId="77777777" w:rsidTr="001A6F0F">
        <w:trPr>
          <w:trHeight w:val="1770"/>
        </w:trPr>
        <w:tc>
          <w:tcPr>
            <w:tcW w:w="2268" w:type="dxa"/>
            <w:vMerge w:val="restart"/>
            <w:noWrap/>
            <w:vAlign w:val="bottom"/>
            <w:hideMark/>
          </w:tcPr>
          <w:p w14:paraId="31896081" w14:textId="77777777" w:rsidR="001A6F0F" w:rsidRPr="006A31C4" w:rsidRDefault="001A6F0F" w:rsidP="006A31C4">
            <w:pPr>
              <w:rPr>
                <w:rFonts w:eastAsia="Times New Roman" w:cs="Arial"/>
                <w:kern w:val="0"/>
                <w:sz w:val="21"/>
                <w:szCs w:val="21"/>
                <w:lang w:eastAsia="en-GB"/>
                <w14:ligatures w14:val="none"/>
              </w:rPr>
            </w:pPr>
          </w:p>
        </w:tc>
        <w:tc>
          <w:tcPr>
            <w:tcW w:w="1133" w:type="dxa"/>
            <w:vAlign w:val="center"/>
            <w:hideMark/>
          </w:tcPr>
          <w:p w14:paraId="7E47F706" w14:textId="77777777" w:rsidR="001A6F0F" w:rsidRPr="006A31C4" w:rsidRDefault="001A6F0F" w:rsidP="006A31C4">
            <w:pPr>
              <w:jc w:val="right"/>
              <w:rPr>
                <w:rFonts w:eastAsia="Times New Roman" w:cs="Arial"/>
                <w:kern w:val="0"/>
                <w:sz w:val="20"/>
                <w:szCs w:val="20"/>
                <w:lang w:eastAsia="en-GB"/>
                <w14:ligatures w14:val="none"/>
              </w:rPr>
            </w:pPr>
            <w:r w:rsidRPr="006A31C4">
              <w:rPr>
                <w:rFonts w:eastAsia="Times New Roman" w:cs="Arial"/>
                <w:kern w:val="0"/>
                <w:sz w:val="20"/>
                <w:szCs w:val="20"/>
                <w:lang w:eastAsia="en-GB"/>
                <w14:ligatures w14:val="none"/>
              </w:rPr>
              <w:t>Adult Social Care Real Living Wage uplifts</w:t>
            </w:r>
          </w:p>
        </w:tc>
        <w:tc>
          <w:tcPr>
            <w:tcW w:w="1133" w:type="dxa"/>
            <w:vAlign w:val="center"/>
            <w:hideMark/>
          </w:tcPr>
          <w:p w14:paraId="29DC89EE" w14:textId="77777777" w:rsidR="001A6F0F" w:rsidRPr="006A31C4" w:rsidRDefault="001A6F0F" w:rsidP="006A31C4">
            <w:pPr>
              <w:jc w:val="right"/>
              <w:rPr>
                <w:rFonts w:eastAsia="Times New Roman" w:cs="Arial"/>
                <w:kern w:val="0"/>
                <w:sz w:val="20"/>
                <w:szCs w:val="20"/>
                <w:lang w:eastAsia="en-GB"/>
                <w14:ligatures w14:val="none"/>
              </w:rPr>
            </w:pPr>
            <w:r w:rsidRPr="006A31C4">
              <w:rPr>
                <w:rFonts w:eastAsia="Times New Roman" w:cs="Arial"/>
                <w:kern w:val="0"/>
                <w:sz w:val="20"/>
                <w:szCs w:val="20"/>
                <w:lang w:eastAsia="en-GB"/>
                <w14:ligatures w14:val="none"/>
              </w:rPr>
              <w:t>Free Personal &amp; Nursing Care Uplifts</w:t>
            </w:r>
          </w:p>
        </w:tc>
        <w:tc>
          <w:tcPr>
            <w:tcW w:w="1133" w:type="dxa"/>
            <w:vAlign w:val="center"/>
            <w:hideMark/>
          </w:tcPr>
          <w:p w14:paraId="0CA446E8" w14:textId="77777777" w:rsidR="001A6F0F" w:rsidRPr="006A31C4" w:rsidRDefault="001A6F0F" w:rsidP="006A31C4">
            <w:pPr>
              <w:jc w:val="right"/>
              <w:rPr>
                <w:rFonts w:eastAsia="Times New Roman" w:cs="Arial"/>
                <w:b/>
                <w:bCs/>
                <w:kern w:val="0"/>
                <w:sz w:val="20"/>
                <w:szCs w:val="20"/>
                <w:lang w:eastAsia="en-GB"/>
                <w14:ligatures w14:val="none"/>
              </w:rPr>
            </w:pPr>
            <w:r w:rsidRPr="006A31C4">
              <w:rPr>
                <w:rFonts w:eastAsia="Times New Roman" w:cs="Arial"/>
                <w:b/>
                <w:bCs/>
                <w:kern w:val="0"/>
                <w:sz w:val="20"/>
                <w:szCs w:val="20"/>
                <w:lang w:eastAsia="en-GB"/>
                <w14:ligatures w14:val="none"/>
              </w:rPr>
              <w:t>Total known Adult Social Care i</w:t>
            </w:r>
            <w:r w:rsidRPr="006A31C4">
              <w:rPr>
                <w:rFonts w:eastAsia="Times New Roman" w:cs="Arial"/>
                <w:b/>
                <w:bCs/>
                <w:kern w:val="0"/>
                <w:sz w:val="18"/>
                <w:szCs w:val="18"/>
                <w:lang w:eastAsia="en-GB"/>
                <w14:ligatures w14:val="none"/>
              </w:rPr>
              <w:t>ncreases</w:t>
            </w:r>
          </w:p>
        </w:tc>
        <w:tc>
          <w:tcPr>
            <w:tcW w:w="1134" w:type="dxa"/>
            <w:vAlign w:val="center"/>
            <w:hideMark/>
          </w:tcPr>
          <w:p w14:paraId="1540E4C9" w14:textId="77777777" w:rsidR="001A6F0F" w:rsidRPr="006A31C4" w:rsidRDefault="001A6F0F" w:rsidP="006A31C4">
            <w:pPr>
              <w:jc w:val="right"/>
              <w:rPr>
                <w:rFonts w:eastAsia="Times New Roman" w:cs="Arial"/>
                <w:kern w:val="0"/>
                <w:sz w:val="20"/>
                <w:szCs w:val="20"/>
                <w:lang w:eastAsia="en-GB"/>
                <w14:ligatures w14:val="none"/>
              </w:rPr>
            </w:pPr>
            <w:r w:rsidRPr="006A31C4">
              <w:rPr>
                <w:rFonts w:eastAsia="Times New Roman" w:cs="Arial"/>
                <w:kern w:val="0"/>
                <w:sz w:val="20"/>
                <w:szCs w:val="20"/>
                <w:lang w:eastAsia="en-GB"/>
                <w14:ligatures w14:val="none"/>
              </w:rPr>
              <w:t>Children's Social Care Real Living Wage uplifts</w:t>
            </w:r>
          </w:p>
        </w:tc>
        <w:tc>
          <w:tcPr>
            <w:tcW w:w="1133" w:type="dxa"/>
            <w:vAlign w:val="center"/>
            <w:hideMark/>
          </w:tcPr>
          <w:p w14:paraId="7595B6D4" w14:textId="77777777" w:rsidR="001A6F0F" w:rsidRPr="006A31C4" w:rsidRDefault="001A6F0F" w:rsidP="006A31C4">
            <w:pPr>
              <w:jc w:val="right"/>
              <w:rPr>
                <w:rFonts w:eastAsia="Times New Roman" w:cs="Arial"/>
                <w:kern w:val="0"/>
                <w:sz w:val="20"/>
                <w:szCs w:val="20"/>
                <w:lang w:eastAsia="en-GB"/>
                <w14:ligatures w14:val="none"/>
              </w:rPr>
            </w:pPr>
            <w:r w:rsidRPr="006A31C4">
              <w:rPr>
                <w:rFonts w:eastAsia="Times New Roman" w:cs="Arial"/>
                <w:kern w:val="0"/>
                <w:sz w:val="20"/>
                <w:szCs w:val="20"/>
                <w:lang w:eastAsia="en-GB"/>
                <w14:ligatures w14:val="none"/>
              </w:rPr>
              <w:t>Care Leavers Payments</w:t>
            </w:r>
          </w:p>
        </w:tc>
        <w:tc>
          <w:tcPr>
            <w:tcW w:w="1133" w:type="dxa"/>
            <w:vAlign w:val="center"/>
            <w:hideMark/>
          </w:tcPr>
          <w:p w14:paraId="0B93CB9E" w14:textId="77777777" w:rsidR="001A6F0F" w:rsidRPr="006A31C4" w:rsidRDefault="001A6F0F" w:rsidP="006A31C4">
            <w:pPr>
              <w:jc w:val="right"/>
              <w:rPr>
                <w:rFonts w:eastAsia="Times New Roman" w:cs="Arial"/>
                <w:kern w:val="0"/>
                <w:sz w:val="20"/>
                <w:szCs w:val="20"/>
                <w:lang w:eastAsia="en-GB"/>
                <w14:ligatures w14:val="none"/>
              </w:rPr>
            </w:pPr>
            <w:r w:rsidRPr="006A31C4">
              <w:rPr>
                <w:rFonts w:eastAsia="Times New Roman" w:cs="Arial"/>
                <w:kern w:val="0"/>
                <w:sz w:val="20"/>
                <w:szCs w:val="20"/>
                <w:lang w:eastAsia="en-GB"/>
                <w14:ligatures w14:val="none"/>
              </w:rPr>
              <w:t>Children Care &amp; Justice (Scotland) Act</w:t>
            </w:r>
          </w:p>
        </w:tc>
        <w:tc>
          <w:tcPr>
            <w:tcW w:w="1134" w:type="dxa"/>
            <w:vAlign w:val="center"/>
            <w:hideMark/>
          </w:tcPr>
          <w:p w14:paraId="3FF735C1" w14:textId="66BDB05B" w:rsidR="001A6F0F" w:rsidRPr="006A31C4" w:rsidRDefault="001A6F0F" w:rsidP="006A31C4">
            <w:pPr>
              <w:jc w:val="right"/>
              <w:rPr>
                <w:rFonts w:eastAsia="Times New Roman" w:cs="Arial"/>
                <w:b/>
                <w:bCs/>
                <w:kern w:val="0"/>
                <w:sz w:val="20"/>
                <w:szCs w:val="20"/>
                <w:lang w:eastAsia="en-GB"/>
                <w14:ligatures w14:val="none"/>
              </w:rPr>
            </w:pPr>
            <w:r w:rsidRPr="006A31C4">
              <w:rPr>
                <w:rFonts w:eastAsia="Times New Roman" w:cs="Arial"/>
                <w:b/>
                <w:bCs/>
                <w:kern w:val="0"/>
                <w:sz w:val="20"/>
                <w:szCs w:val="20"/>
                <w:lang w:eastAsia="en-GB"/>
                <w14:ligatures w14:val="none"/>
              </w:rPr>
              <w:t>Total known Child</w:t>
            </w:r>
            <w:r>
              <w:rPr>
                <w:rFonts w:eastAsia="Times New Roman" w:cs="Arial"/>
                <w:b/>
                <w:bCs/>
                <w:kern w:val="0"/>
                <w:sz w:val="20"/>
                <w:szCs w:val="20"/>
                <w:lang w:eastAsia="en-GB"/>
                <w14:ligatures w14:val="none"/>
              </w:rPr>
              <w:t>-</w:t>
            </w:r>
            <w:r w:rsidRPr="006A31C4">
              <w:rPr>
                <w:rFonts w:eastAsia="Times New Roman" w:cs="Arial"/>
                <w:b/>
                <w:bCs/>
                <w:kern w:val="0"/>
                <w:sz w:val="20"/>
                <w:szCs w:val="20"/>
                <w:lang w:eastAsia="en-GB"/>
                <w14:ligatures w14:val="none"/>
              </w:rPr>
              <w:t>ren'</w:t>
            </w:r>
            <w:r w:rsidRPr="001A6F0F">
              <w:rPr>
                <w:rFonts w:eastAsia="Times New Roman" w:cs="Arial"/>
                <w:b/>
                <w:bCs/>
                <w:kern w:val="0"/>
                <w:sz w:val="20"/>
                <w:szCs w:val="20"/>
                <w:lang w:eastAsia="en-GB"/>
                <w14:ligatures w14:val="none"/>
              </w:rPr>
              <w:t>s Social Work</w:t>
            </w:r>
            <w:r w:rsidR="009B7E4B">
              <w:rPr>
                <w:rFonts w:eastAsia="Times New Roman" w:cs="Arial"/>
                <w:b/>
                <w:bCs/>
                <w:kern w:val="0"/>
                <w:sz w:val="20"/>
                <w:szCs w:val="20"/>
                <w:lang w:eastAsia="en-GB"/>
                <w14:ligatures w14:val="none"/>
              </w:rPr>
              <w:t xml:space="preserve"> </w:t>
            </w:r>
            <w:r w:rsidR="009B7E4B" w:rsidRPr="009B7E4B">
              <w:rPr>
                <w:rFonts w:eastAsia="Times New Roman" w:cs="Arial"/>
                <w:b/>
                <w:bCs/>
                <w:kern w:val="0"/>
                <w:sz w:val="18"/>
                <w:szCs w:val="18"/>
                <w:lang w:eastAsia="en-GB"/>
                <w14:ligatures w14:val="none"/>
              </w:rPr>
              <w:t>increases</w:t>
            </w:r>
            <w:r w:rsidRPr="006A31C4">
              <w:rPr>
                <w:rFonts w:eastAsia="Times New Roman" w:cs="Arial"/>
                <w:b/>
                <w:bCs/>
                <w:kern w:val="0"/>
                <w:sz w:val="18"/>
                <w:szCs w:val="18"/>
                <w:lang w:eastAsia="en-GB"/>
                <w14:ligatures w14:val="none"/>
              </w:rPr>
              <w:t xml:space="preserve"> </w:t>
            </w:r>
            <w:r w:rsidRPr="006A31C4">
              <w:rPr>
                <w:rFonts w:eastAsia="Times New Roman" w:cs="Arial"/>
                <w:b/>
                <w:bCs/>
                <w:kern w:val="0"/>
                <w:sz w:val="20"/>
                <w:szCs w:val="20"/>
                <w:lang w:eastAsia="en-GB"/>
                <w14:ligatures w14:val="none"/>
              </w:rPr>
              <w:t xml:space="preserve"> </w:t>
            </w:r>
          </w:p>
        </w:tc>
      </w:tr>
      <w:tr w:rsidR="001A6F0F" w:rsidRPr="006A31C4" w14:paraId="6FD28381" w14:textId="77777777" w:rsidTr="001A6F0F">
        <w:trPr>
          <w:trHeight w:val="240"/>
        </w:trPr>
        <w:tc>
          <w:tcPr>
            <w:tcW w:w="2268" w:type="dxa"/>
            <w:vMerge/>
            <w:noWrap/>
            <w:vAlign w:val="bottom"/>
            <w:hideMark/>
          </w:tcPr>
          <w:p w14:paraId="71D5BBD2" w14:textId="77777777" w:rsidR="001A6F0F" w:rsidRPr="006A31C4" w:rsidRDefault="001A6F0F" w:rsidP="006A31C4">
            <w:pPr>
              <w:jc w:val="right"/>
              <w:rPr>
                <w:rFonts w:eastAsia="Times New Roman" w:cs="Arial"/>
                <w:kern w:val="0"/>
                <w:sz w:val="21"/>
                <w:szCs w:val="21"/>
                <w:lang w:eastAsia="en-GB"/>
                <w14:ligatures w14:val="none"/>
              </w:rPr>
            </w:pPr>
          </w:p>
        </w:tc>
        <w:tc>
          <w:tcPr>
            <w:tcW w:w="1133" w:type="dxa"/>
            <w:vAlign w:val="center"/>
            <w:hideMark/>
          </w:tcPr>
          <w:p w14:paraId="2F93562F" w14:textId="77777777" w:rsidR="001A6F0F" w:rsidRPr="006A31C4" w:rsidRDefault="001A6F0F"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w:t>
            </w:r>
          </w:p>
        </w:tc>
        <w:tc>
          <w:tcPr>
            <w:tcW w:w="1133" w:type="dxa"/>
            <w:vAlign w:val="center"/>
            <w:hideMark/>
          </w:tcPr>
          <w:p w14:paraId="425E1C52" w14:textId="77777777" w:rsidR="001A6F0F" w:rsidRPr="006A31C4" w:rsidRDefault="001A6F0F"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w:t>
            </w:r>
          </w:p>
        </w:tc>
        <w:tc>
          <w:tcPr>
            <w:tcW w:w="1133" w:type="dxa"/>
            <w:vAlign w:val="center"/>
            <w:hideMark/>
          </w:tcPr>
          <w:p w14:paraId="2F714810" w14:textId="77777777" w:rsidR="001A6F0F" w:rsidRPr="006A31C4" w:rsidRDefault="001A6F0F"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£M</w:t>
            </w:r>
          </w:p>
        </w:tc>
        <w:tc>
          <w:tcPr>
            <w:tcW w:w="1134" w:type="dxa"/>
            <w:vAlign w:val="center"/>
            <w:hideMark/>
          </w:tcPr>
          <w:p w14:paraId="27E65239" w14:textId="77777777" w:rsidR="001A6F0F" w:rsidRPr="006A31C4" w:rsidRDefault="001A6F0F"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w:t>
            </w:r>
          </w:p>
        </w:tc>
        <w:tc>
          <w:tcPr>
            <w:tcW w:w="1133" w:type="dxa"/>
            <w:vAlign w:val="center"/>
            <w:hideMark/>
          </w:tcPr>
          <w:p w14:paraId="49ED2854" w14:textId="77777777" w:rsidR="001A6F0F" w:rsidRPr="006A31C4" w:rsidRDefault="001A6F0F"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w:t>
            </w:r>
          </w:p>
        </w:tc>
        <w:tc>
          <w:tcPr>
            <w:tcW w:w="1133" w:type="dxa"/>
            <w:vAlign w:val="center"/>
            <w:hideMark/>
          </w:tcPr>
          <w:p w14:paraId="2A30ED44" w14:textId="77777777" w:rsidR="001A6F0F" w:rsidRPr="006A31C4" w:rsidRDefault="001A6F0F"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w:t>
            </w:r>
          </w:p>
        </w:tc>
        <w:tc>
          <w:tcPr>
            <w:tcW w:w="1134" w:type="dxa"/>
            <w:vAlign w:val="center"/>
            <w:hideMark/>
          </w:tcPr>
          <w:p w14:paraId="320B1FDF" w14:textId="77777777" w:rsidR="001A6F0F" w:rsidRPr="006A31C4" w:rsidRDefault="001A6F0F"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w:t>
            </w:r>
          </w:p>
        </w:tc>
      </w:tr>
      <w:tr w:rsidR="001A6F0F" w:rsidRPr="006A31C4" w14:paraId="784885A4" w14:textId="77777777" w:rsidTr="001A6F0F">
        <w:trPr>
          <w:trHeight w:val="255"/>
        </w:trPr>
        <w:tc>
          <w:tcPr>
            <w:tcW w:w="2268" w:type="dxa"/>
            <w:noWrap/>
            <w:vAlign w:val="bottom"/>
            <w:hideMark/>
          </w:tcPr>
          <w:p w14:paraId="7A0BCF5D"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Aberdeen City</w:t>
            </w:r>
          </w:p>
        </w:tc>
        <w:tc>
          <w:tcPr>
            <w:tcW w:w="1133" w:type="dxa"/>
            <w:noWrap/>
            <w:vAlign w:val="bottom"/>
            <w:hideMark/>
          </w:tcPr>
          <w:p w14:paraId="321F2B6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6.161</w:t>
            </w:r>
          </w:p>
        </w:tc>
        <w:tc>
          <w:tcPr>
            <w:tcW w:w="1133" w:type="dxa"/>
            <w:noWrap/>
            <w:vAlign w:val="bottom"/>
            <w:hideMark/>
          </w:tcPr>
          <w:p w14:paraId="70D0072B"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0.258</w:t>
            </w:r>
          </w:p>
        </w:tc>
        <w:tc>
          <w:tcPr>
            <w:tcW w:w="1133" w:type="dxa"/>
            <w:noWrap/>
            <w:vAlign w:val="bottom"/>
            <w:hideMark/>
          </w:tcPr>
          <w:p w14:paraId="77B00224"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6.418</w:t>
            </w:r>
          </w:p>
        </w:tc>
        <w:tc>
          <w:tcPr>
            <w:tcW w:w="1134" w:type="dxa"/>
            <w:noWrap/>
            <w:vAlign w:val="bottom"/>
            <w:hideMark/>
          </w:tcPr>
          <w:p w14:paraId="364F134B"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0.473</w:t>
            </w:r>
          </w:p>
        </w:tc>
        <w:tc>
          <w:tcPr>
            <w:tcW w:w="1133" w:type="dxa"/>
            <w:noWrap/>
            <w:vAlign w:val="bottom"/>
            <w:hideMark/>
          </w:tcPr>
          <w:p w14:paraId="12A3F399"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0.141</w:t>
            </w:r>
          </w:p>
        </w:tc>
        <w:tc>
          <w:tcPr>
            <w:tcW w:w="1133" w:type="dxa"/>
            <w:noWrap/>
            <w:vAlign w:val="bottom"/>
            <w:hideMark/>
          </w:tcPr>
          <w:p w14:paraId="36C4F5C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0.119</w:t>
            </w:r>
          </w:p>
        </w:tc>
        <w:tc>
          <w:tcPr>
            <w:tcW w:w="1134" w:type="dxa"/>
            <w:noWrap/>
            <w:vAlign w:val="bottom"/>
            <w:hideMark/>
          </w:tcPr>
          <w:p w14:paraId="3D156174"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0.733</w:t>
            </w:r>
          </w:p>
        </w:tc>
      </w:tr>
      <w:tr w:rsidR="001A6F0F" w:rsidRPr="006A31C4" w14:paraId="44764013" w14:textId="77777777" w:rsidTr="001A6F0F">
        <w:trPr>
          <w:trHeight w:val="255"/>
        </w:trPr>
        <w:tc>
          <w:tcPr>
            <w:tcW w:w="2268" w:type="dxa"/>
            <w:noWrap/>
            <w:vAlign w:val="bottom"/>
            <w:hideMark/>
          </w:tcPr>
          <w:p w14:paraId="113BD101"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Aberdeenshire</w:t>
            </w:r>
          </w:p>
        </w:tc>
        <w:tc>
          <w:tcPr>
            <w:tcW w:w="1133" w:type="dxa"/>
            <w:noWrap/>
            <w:vAlign w:val="bottom"/>
            <w:hideMark/>
          </w:tcPr>
          <w:p w14:paraId="3ECDC08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7.122</w:t>
            </w:r>
          </w:p>
        </w:tc>
        <w:tc>
          <w:tcPr>
            <w:tcW w:w="1133" w:type="dxa"/>
            <w:noWrap/>
            <w:vAlign w:val="bottom"/>
            <w:hideMark/>
          </w:tcPr>
          <w:p w14:paraId="766082A3"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0.468</w:t>
            </w:r>
          </w:p>
        </w:tc>
        <w:tc>
          <w:tcPr>
            <w:tcW w:w="1133" w:type="dxa"/>
            <w:noWrap/>
            <w:vAlign w:val="bottom"/>
            <w:hideMark/>
          </w:tcPr>
          <w:p w14:paraId="6F80A7DD"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7.590</w:t>
            </w:r>
          </w:p>
        </w:tc>
        <w:tc>
          <w:tcPr>
            <w:tcW w:w="1134" w:type="dxa"/>
            <w:noWrap/>
            <w:vAlign w:val="bottom"/>
            <w:hideMark/>
          </w:tcPr>
          <w:p w14:paraId="35B4C4D8"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0.736</w:t>
            </w:r>
          </w:p>
        </w:tc>
        <w:tc>
          <w:tcPr>
            <w:tcW w:w="1133" w:type="dxa"/>
            <w:noWrap/>
            <w:vAlign w:val="bottom"/>
            <w:hideMark/>
          </w:tcPr>
          <w:p w14:paraId="72F05A2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0.140</w:t>
            </w:r>
          </w:p>
        </w:tc>
        <w:tc>
          <w:tcPr>
            <w:tcW w:w="1133" w:type="dxa"/>
            <w:noWrap/>
            <w:vAlign w:val="bottom"/>
            <w:hideMark/>
          </w:tcPr>
          <w:p w14:paraId="09C043A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0.185</w:t>
            </w:r>
          </w:p>
        </w:tc>
        <w:tc>
          <w:tcPr>
            <w:tcW w:w="1134" w:type="dxa"/>
            <w:noWrap/>
            <w:vAlign w:val="bottom"/>
            <w:hideMark/>
          </w:tcPr>
          <w:p w14:paraId="2FF0D05D"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1.062</w:t>
            </w:r>
          </w:p>
        </w:tc>
      </w:tr>
      <w:tr w:rsidR="001A6F0F" w:rsidRPr="006A31C4" w14:paraId="4F37B9D6" w14:textId="77777777" w:rsidTr="001A6F0F">
        <w:trPr>
          <w:trHeight w:val="255"/>
        </w:trPr>
        <w:tc>
          <w:tcPr>
            <w:tcW w:w="2268" w:type="dxa"/>
            <w:noWrap/>
            <w:vAlign w:val="bottom"/>
            <w:hideMark/>
          </w:tcPr>
          <w:p w14:paraId="0784ECE7"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Angus</w:t>
            </w:r>
          </w:p>
        </w:tc>
        <w:tc>
          <w:tcPr>
            <w:tcW w:w="1133" w:type="dxa"/>
            <w:noWrap/>
            <w:vAlign w:val="bottom"/>
            <w:hideMark/>
          </w:tcPr>
          <w:p w14:paraId="1180FEC9"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4.014</w:t>
            </w:r>
          </w:p>
        </w:tc>
        <w:tc>
          <w:tcPr>
            <w:tcW w:w="1133" w:type="dxa"/>
            <w:noWrap/>
            <w:vAlign w:val="bottom"/>
            <w:hideMark/>
          </w:tcPr>
          <w:p w14:paraId="1CBB269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0.185</w:t>
            </w:r>
          </w:p>
        </w:tc>
        <w:tc>
          <w:tcPr>
            <w:tcW w:w="1133" w:type="dxa"/>
            <w:noWrap/>
            <w:vAlign w:val="bottom"/>
            <w:hideMark/>
          </w:tcPr>
          <w:p w14:paraId="52C3F97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4.200</w:t>
            </w:r>
          </w:p>
        </w:tc>
        <w:tc>
          <w:tcPr>
            <w:tcW w:w="1134" w:type="dxa"/>
            <w:noWrap/>
            <w:vAlign w:val="bottom"/>
            <w:hideMark/>
          </w:tcPr>
          <w:p w14:paraId="43474F09"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0.311</w:t>
            </w:r>
          </w:p>
        </w:tc>
        <w:tc>
          <w:tcPr>
            <w:tcW w:w="1133" w:type="dxa"/>
            <w:noWrap/>
            <w:vAlign w:val="bottom"/>
            <w:hideMark/>
          </w:tcPr>
          <w:p w14:paraId="21AFD43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0.076</w:t>
            </w:r>
          </w:p>
        </w:tc>
        <w:tc>
          <w:tcPr>
            <w:tcW w:w="1133" w:type="dxa"/>
            <w:noWrap/>
            <w:vAlign w:val="bottom"/>
            <w:hideMark/>
          </w:tcPr>
          <w:p w14:paraId="716C90C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0.078</w:t>
            </w:r>
          </w:p>
        </w:tc>
        <w:tc>
          <w:tcPr>
            <w:tcW w:w="1134" w:type="dxa"/>
            <w:noWrap/>
            <w:vAlign w:val="bottom"/>
            <w:hideMark/>
          </w:tcPr>
          <w:p w14:paraId="6CFA08FD"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0.466</w:t>
            </w:r>
          </w:p>
        </w:tc>
      </w:tr>
      <w:tr w:rsidR="001A6F0F" w:rsidRPr="006A31C4" w14:paraId="42C9274A" w14:textId="77777777" w:rsidTr="001A6F0F">
        <w:trPr>
          <w:trHeight w:val="255"/>
        </w:trPr>
        <w:tc>
          <w:tcPr>
            <w:tcW w:w="2268" w:type="dxa"/>
            <w:noWrap/>
            <w:vAlign w:val="bottom"/>
            <w:hideMark/>
          </w:tcPr>
          <w:p w14:paraId="27E11E2F"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Argyll &amp; Bute</w:t>
            </w:r>
          </w:p>
        </w:tc>
        <w:tc>
          <w:tcPr>
            <w:tcW w:w="1133" w:type="dxa"/>
            <w:noWrap/>
            <w:vAlign w:val="bottom"/>
            <w:hideMark/>
          </w:tcPr>
          <w:p w14:paraId="024FC9F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3.226</w:t>
            </w:r>
          </w:p>
        </w:tc>
        <w:tc>
          <w:tcPr>
            <w:tcW w:w="1133" w:type="dxa"/>
            <w:noWrap/>
            <w:vAlign w:val="bottom"/>
            <w:hideMark/>
          </w:tcPr>
          <w:p w14:paraId="4A02E65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0.153</w:t>
            </w:r>
          </w:p>
        </w:tc>
        <w:tc>
          <w:tcPr>
            <w:tcW w:w="1133" w:type="dxa"/>
            <w:noWrap/>
            <w:vAlign w:val="bottom"/>
            <w:hideMark/>
          </w:tcPr>
          <w:p w14:paraId="6C4C4006"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3.379</w:t>
            </w:r>
          </w:p>
        </w:tc>
        <w:tc>
          <w:tcPr>
            <w:tcW w:w="1134" w:type="dxa"/>
            <w:noWrap/>
            <w:vAlign w:val="bottom"/>
            <w:hideMark/>
          </w:tcPr>
          <w:p w14:paraId="4441068A"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0.222</w:t>
            </w:r>
          </w:p>
        </w:tc>
        <w:tc>
          <w:tcPr>
            <w:tcW w:w="1133" w:type="dxa"/>
            <w:noWrap/>
            <w:vAlign w:val="bottom"/>
            <w:hideMark/>
          </w:tcPr>
          <w:p w14:paraId="0DA4A66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0.046</w:t>
            </w:r>
          </w:p>
        </w:tc>
        <w:tc>
          <w:tcPr>
            <w:tcW w:w="1133" w:type="dxa"/>
            <w:noWrap/>
            <w:vAlign w:val="bottom"/>
            <w:hideMark/>
          </w:tcPr>
          <w:p w14:paraId="008FFE08"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0.056</w:t>
            </w:r>
          </w:p>
        </w:tc>
        <w:tc>
          <w:tcPr>
            <w:tcW w:w="1134" w:type="dxa"/>
            <w:noWrap/>
            <w:vAlign w:val="bottom"/>
            <w:hideMark/>
          </w:tcPr>
          <w:p w14:paraId="2F11391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0.324</w:t>
            </w:r>
          </w:p>
        </w:tc>
      </w:tr>
      <w:tr w:rsidR="001A6F0F" w:rsidRPr="006A31C4" w14:paraId="69544081" w14:textId="77777777" w:rsidTr="001A6F0F">
        <w:trPr>
          <w:trHeight w:val="255"/>
        </w:trPr>
        <w:tc>
          <w:tcPr>
            <w:tcW w:w="2268" w:type="dxa"/>
            <w:noWrap/>
            <w:vAlign w:val="bottom"/>
            <w:hideMark/>
          </w:tcPr>
          <w:p w14:paraId="39F51CBC"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City of Edinburgh</w:t>
            </w:r>
          </w:p>
        </w:tc>
        <w:tc>
          <w:tcPr>
            <w:tcW w:w="1133" w:type="dxa"/>
            <w:noWrap/>
            <w:vAlign w:val="bottom"/>
            <w:hideMark/>
          </w:tcPr>
          <w:p w14:paraId="0B5C282D"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13.354</w:t>
            </w:r>
          </w:p>
        </w:tc>
        <w:tc>
          <w:tcPr>
            <w:tcW w:w="1133" w:type="dxa"/>
            <w:noWrap/>
            <w:vAlign w:val="bottom"/>
            <w:hideMark/>
          </w:tcPr>
          <w:p w14:paraId="697DEB9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0.741</w:t>
            </w:r>
          </w:p>
        </w:tc>
        <w:tc>
          <w:tcPr>
            <w:tcW w:w="1133" w:type="dxa"/>
            <w:noWrap/>
            <w:vAlign w:val="bottom"/>
            <w:hideMark/>
          </w:tcPr>
          <w:p w14:paraId="1EC3BDE6"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14.095</w:t>
            </w:r>
          </w:p>
        </w:tc>
        <w:tc>
          <w:tcPr>
            <w:tcW w:w="1134" w:type="dxa"/>
            <w:noWrap/>
            <w:vAlign w:val="bottom"/>
            <w:hideMark/>
          </w:tcPr>
          <w:p w14:paraId="5658E35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0.927</w:t>
            </w:r>
          </w:p>
        </w:tc>
        <w:tc>
          <w:tcPr>
            <w:tcW w:w="1133" w:type="dxa"/>
            <w:noWrap/>
            <w:vAlign w:val="bottom"/>
            <w:hideMark/>
          </w:tcPr>
          <w:p w14:paraId="2B156E3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0.278</w:t>
            </w:r>
          </w:p>
        </w:tc>
        <w:tc>
          <w:tcPr>
            <w:tcW w:w="1133" w:type="dxa"/>
            <w:noWrap/>
            <w:vAlign w:val="bottom"/>
            <w:hideMark/>
          </w:tcPr>
          <w:p w14:paraId="703150D9"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0.233</w:t>
            </w:r>
          </w:p>
        </w:tc>
        <w:tc>
          <w:tcPr>
            <w:tcW w:w="1134" w:type="dxa"/>
            <w:noWrap/>
            <w:vAlign w:val="bottom"/>
            <w:hideMark/>
          </w:tcPr>
          <w:p w14:paraId="2EF7891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1.438</w:t>
            </w:r>
          </w:p>
        </w:tc>
      </w:tr>
      <w:tr w:rsidR="001A6F0F" w:rsidRPr="006A31C4" w14:paraId="3CBE65CB" w14:textId="77777777" w:rsidTr="001A6F0F">
        <w:trPr>
          <w:trHeight w:val="255"/>
        </w:trPr>
        <w:tc>
          <w:tcPr>
            <w:tcW w:w="2268" w:type="dxa"/>
            <w:noWrap/>
            <w:vAlign w:val="bottom"/>
            <w:hideMark/>
          </w:tcPr>
          <w:p w14:paraId="603B7153"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Clackmannanshire</w:t>
            </w:r>
          </w:p>
        </w:tc>
        <w:tc>
          <w:tcPr>
            <w:tcW w:w="1133" w:type="dxa"/>
            <w:noWrap/>
            <w:vAlign w:val="bottom"/>
            <w:hideMark/>
          </w:tcPr>
          <w:p w14:paraId="63775C89"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1.626</w:t>
            </w:r>
          </w:p>
        </w:tc>
        <w:tc>
          <w:tcPr>
            <w:tcW w:w="1133" w:type="dxa"/>
            <w:noWrap/>
            <w:vAlign w:val="bottom"/>
            <w:hideMark/>
          </w:tcPr>
          <w:p w14:paraId="7525D65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0.064</w:t>
            </w:r>
          </w:p>
        </w:tc>
        <w:tc>
          <w:tcPr>
            <w:tcW w:w="1133" w:type="dxa"/>
            <w:noWrap/>
            <w:vAlign w:val="bottom"/>
            <w:hideMark/>
          </w:tcPr>
          <w:p w14:paraId="479DFC36"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1.690</w:t>
            </w:r>
          </w:p>
        </w:tc>
        <w:tc>
          <w:tcPr>
            <w:tcW w:w="1134" w:type="dxa"/>
            <w:noWrap/>
            <w:vAlign w:val="bottom"/>
            <w:hideMark/>
          </w:tcPr>
          <w:p w14:paraId="12E18DA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0.141</w:t>
            </w:r>
          </w:p>
        </w:tc>
        <w:tc>
          <w:tcPr>
            <w:tcW w:w="1133" w:type="dxa"/>
            <w:noWrap/>
            <w:vAlign w:val="bottom"/>
            <w:hideMark/>
          </w:tcPr>
          <w:p w14:paraId="7203A73D"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0.042</w:t>
            </w:r>
          </w:p>
        </w:tc>
        <w:tc>
          <w:tcPr>
            <w:tcW w:w="1133" w:type="dxa"/>
            <w:noWrap/>
            <w:vAlign w:val="bottom"/>
            <w:hideMark/>
          </w:tcPr>
          <w:p w14:paraId="1133C72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0.036</w:t>
            </w:r>
          </w:p>
        </w:tc>
        <w:tc>
          <w:tcPr>
            <w:tcW w:w="1134" w:type="dxa"/>
            <w:noWrap/>
            <w:vAlign w:val="bottom"/>
            <w:hideMark/>
          </w:tcPr>
          <w:p w14:paraId="0A6AC2C3"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0.219</w:t>
            </w:r>
          </w:p>
        </w:tc>
      </w:tr>
      <w:tr w:rsidR="001A6F0F" w:rsidRPr="006A31C4" w14:paraId="02D9D235" w14:textId="77777777" w:rsidTr="001A6F0F">
        <w:trPr>
          <w:trHeight w:val="255"/>
        </w:trPr>
        <w:tc>
          <w:tcPr>
            <w:tcW w:w="2268" w:type="dxa"/>
            <w:noWrap/>
            <w:vAlign w:val="bottom"/>
            <w:hideMark/>
          </w:tcPr>
          <w:p w14:paraId="6F53E400"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Dumfries &amp; Galloway</w:t>
            </w:r>
          </w:p>
        </w:tc>
        <w:tc>
          <w:tcPr>
            <w:tcW w:w="1133" w:type="dxa"/>
            <w:noWrap/>
            <w:vAlign w:val="bottom"/>
            <w:hideMark/>
          </w:tcPr>
          <w:p w14:paraId="005ECA3E"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5.809</w:t>
            </w:r>
          </w:p>
        </w:tc>
        <w:tc>
          <w:tcPr>
            <w:tcW w:w="1133" w:type="dxa"/>
            <w:noWrap/>
            <w:vAlign w:val="bottom"/>
            <w:hideMark/>
          </w:tcPr>
          <w:p w14:paraId="4F8151E9"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0.237</w:t>
            </w:r>
          </w:p>
        </w:tc>
        <w:tc>
          <w:tcPr>
            <w:tcW w:w="1133" w:type="dxa"/>
            <w:noWrap/>
            <w:vAlign w:val="bottom"/>
            <w:hideMark/>
          </w:tcPr>
          <w:p w14:paraId="2F3049FD"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6.046</w:t>
            </w:r>
          </w:p>
        </w:tc>
        <w:tc>
          <w:tcPr>
            <w:tcW w:w="1134" w:type="dxa"/>
            <w:noWrap/>
            <w:vAlign w:val="bottom"/>
            <w:hideMark/>
          </w:tcPr>
          <w:p w14:paraId="6A9337D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0.447</w:t>
            </w:r>
          </w:p>
        </w:tc>
        <w:tc>
          <w:tcPr>
            <w:tcW w:w="1133" w:type="dxa"/>
            <w:noWrap/>
            <w:vAlign w:val="bottom"/>
            <w:hideMark/>
          </w:tcPr>
          <w:p w14:paraId="2CD11CA7"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0.102</w:t>
            </w:r>
          </w:p>
        </w:tc>
        <w:tc>
          <w:tcPr>
            <w:tcW w:w="1133" w:type="dxa"/>
            <w:noWrap/>
            <w:vAlign w:val="bottom"/>
            <w:hideMark/>
          </w:tcPr>
          <w:p w14:paraId="6D44F05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0.113</w:t>
            </w:r>
          </w:p>
        </w:tc>
        <w:tc>
          <w:tcPr>
            <w:tcW w:w="1134" w:type="dxa"/>
            <w:noWrap/>
            <w:vAlign w:val="bottom"/>
            <w:hideMark/>
          </w:tcPr>
          <w:p w14:paraId="08C4D987"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0.661</w:t>
            </w:r>
          </w:p>
        </w:tc>
      </w:tr>
      <w:tr w:rsidR="001A6F0F" w:rsidRPr="006A31C4" w14:paraId="216D6FF5" w14:textId="77777777" w:rsidTr="001A6F0F">
        <w:trPr>
          <w:trHeight w:val="255"/>
        </w:trPr>
        <w:tc>
          <w:tcPr>
            <w:tcW w:w="2268" w:type="dxa"/>
            <w:noWrap/>
            <w:vAlign w:val="bottom"/>
            <w:hideMark/>
          </w:tcPr>
          <w:p w14:paraId="7961FDA3"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Dundee City</w:t>
            </w:r>
          </w:p>
        </w:tc>
        <w:tc>
          <w:tcPr>
            <w:tcW w:w="1133" w:type="dxa"/>
            <w:noWrap/>
            <w:vAlign w:val="bottom"/>
            <w:hideMark/>
          </w:tcPr>
          <w:p w14:paraId="3F4C53D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5.027</w:t>
            </w:r>
          </w:p>
        </w:tc>
        <w:tc>
          <w:tcPr>
            <w:tcW w:w="1133" w:type="dxa"/>
            <w:noWrap/>
            <w:vAlign w:val="bottom"/>
            <w:hideMark/>
          </w:tcPr>
          <w:p w14:paraId="6E3A73F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0.122</w:t>
            </w:r>
          </w:p>
        </w:tc>
        <w:tc>
          <w:tcPr>
            <w:tcW w:w="1133" w:type="dxa"/>
            <w:noWrap/>
            <w:vAlign w:val="bottom"/>
            <w:hideMark/>
          </w:tcPr>
          <w:p w14:paraId="537ECDE6"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5.149</w:t>
            </w:r>
          </w:p>
        </w:tc>
        <w:tc>
          <w:tcPr>
            <w:tcW w:w="1134" w:type="dxa"/>
            <w:noWrap/>
            <w:vAlign w:val="bottom"/>
            <w:hideMark/>
          </w:tcPr>
          <w:p w14:paraId="42ADD96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0.378</w:t>
            </w:r>
          </w:p>
        </w:tc>
        <w:tc>
          <w:tcPr>
            <w:tcW w:w="1133" w:type="dxa"/>
            <w:noWrap/>
            <w:vAlign w:val="bottom"/>
            <w:hideMark/>
          </w:tcPr>
          <w:p w14:paraId="22793C8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0.118</w:t>
            </w:r>
          </w:p>
        </w:tc>
        <w:tc>
          <w:tcPr>
            <w:tcW w:w="1133" w:type="dxa"/>
            <w:noWrap/>
            <w:vAlign w:val="bottom"/>
            <w:hideMark/>
          </w:tcPr>
          <w:p w14:paraId="2012C14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0.095</w:t>
            </w:r>
          </w:p>
        </w:tc>
        <w:tc>
          <w:tcPr>
            <w:tcW w:w="1134" w:type="dxa"/>
            <w:noWrap/>
            <w:vAlign w:val="bottom"/>
            <w:hideMark/>
          </w:tcPr>
          <w:p w14:paraId="0A8EC021"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0.591</w:t>
            </w:r>
          </w:p>
        </w:tc>
      </w:tr>
      <w:tr w:rsidR="001A6F0F" w:rsidRPr="006A31C4" w14:paraId="006D1A7F" w14:textId="77777777" w:rsidTr="001A6F0F">
        <w:trPr>
          <w:trHeight w:val="255"/>
        </w:trPr>
        <w:tc>
          <w:tcPr>
            <w:tcW w:w="2268" w:type="dxa"/>
            <w:noWrap/>
            <w:vAlign w:val="bottom"/>
            <w:hideMark/>
          </w:tcPr>
          <w:p w14:paraId="7E6CC5CB"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East Ayrshire</w:t>
            </w:r>
          </w:p>
        </w:tc>
        <w:tc>
          <w:tcPr>
            <w:tcW w:w="1133" w:type="dxa"/>
            <w:noWrap/>
            <w:vAlign w:val="bottom"/>
            <w:hideMark/>
          </w:tcPr>
          <w:p w14:paraId="2DECFB0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4.308</w:t>
            </w:r>
          </w:p>
        </w:tc>
        <w:tc>
          <w:tcPr>
            <w:tcW w:w="1133" w:type="dxa"/>
            <w:noWrap/>
            <w:vAlign w:val="bottom"/>
            <w:hideMark/>
          </w:tcPr>
          <w:p w14:paraId="77660B6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0.122</w:t>
            </w:r>
          </w:p>
        </w:tc>
        <w:tc>
          <w:tcPr>
            <w:tcW w:w="1133" w:type="dxa"/>
            <w:noWrap/>
            <w:vAlign w:val="bottom"/>
            <w:hideMark/>
          </w:tcPr>
          <w:p w14:paraId="20CFAD62"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4.430</w:t>
            </w:r>
          </w:p>
        </w:tc>
        <w:tc>
          <w:tcPr>
            <w:tcW w:w="1134" w:type="dxa"/>
            <w:noWrap/>
            <w:vAlign w:val="bottom"/>
            <w:hideMark/>
          </w:tcPr>
          <w:p w14:paraId="5A3B48F7"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0.342</w:t>
            </w:r>
          </w:p>
        </w:tc>
        <w:tc>
          <w:tcPr>
            <w:tcW w:w="1133" w:type="dxa"/>
            <w:noWrap/>
            <w:vAlign w:val="bottom"/>
            <w:hideMark/>
          </w:tcPr>
          <w:p w14:paraId="2F6B06B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0.098</w:t>
            </w:r>
          </w:p>
        </w:tc>
        <w:tc>
          <w:tcPr>
            <w:tcW w:w="1133" w:type="dxa"/>
            <w:noWrap/>
            <w:vAlign w:val="bottom"/>
            <w:hideMark/>
          </w:tcPr>
          <w:p w14:paraId="37ECA1C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0.086</w:t>
            </w:r>
          </w:p>
        </w:tc>
        <w:tc>
          <w:tcPr>
            <w:tcW w:w="1134" w:type="dxa"/>
            <w:noWrap/>
            <w:vAlign w:val="bottom"/>
            <w:hideMark/>
          </w:tcPr>
          <w:p w14:paraId="0C06EAD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0.527</w:t>
            </w:r>
          </w:p>
        </w:tc>
      </w:tr>
      <w:tr w:rsidR="001A6F0F" w:rsidRPr="006A31C4" w14:paraId="60171E86" w14:textId="77777777" w:rsidTr="001A6F0F">
        <w:trPr>
          <w:trHeight w:val="255"/>
        </w:trPr>
        <w:tc>
          <w:tcPr>
            <w:tcW w:w="2268" w:type="dxa"/>
            <w:noWrap/>
            <w:vAlign w:val="bottom"/>
            <w:hideMark/>
          </w:tcPr>
          <w:p w14:paraId="749E376D"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East Dunbartonshire</w:t>
            </w:r>
          </w:p>
        </w:tc>
        <w:tc>
          <w:tcPr>
            <w:tcW w:w="1133" w:type="dxa"/>
            <w:noWrap/>
            <w:vAlign w:val="bottom"/>
            <w:hideMark/>
          </w:tcPr>
          <w:p w14:paraId="74C140C3"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3.117</w:t>
            </w:r>
          </w:p>
        </w:tc>
        <w:tc>
          <w:tcPr>
            <w:tcW w:w="1133" w:type="dxa"/>
            <w:noWrap/>
            <w:vAlign w:val="bottom"/>
            <w:hideMark/>
          </w:tcPr>
          <w:p w14:paraId="34DE816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0.308</w:t>
            </w:r>
          </w:p>
        </w:tc>
        <w:tc>
          <w:tcPr>
            <w:tcW w:w="1133" w:type="dxa"/>
            <w:noWrap/>
            <w:vAlign w:val="bottom"/>
            <w:hideMark/>
          </w:tcPr>
          <w:p w14:paraId="57185E42"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3.425</w:t>
            </w:r>
          </w:p>
        </w:tc>
        <w:tc>
          <w:tcPr>
            <w:tcW w:w="1134" w:type="dxa"/>
            <w:noWrap/>
            <w:vAlign w:val="bottom"/>
            <w:hideMark/>
          </w:tcPr>
          <w:p w14:paraId="5CE4E92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0.206</w:t>
            </w:r>
          </w:p>
        </w:tc>
        <w:tc>
          <w:tcPr>
            <w:tcW w:w="1133" w:type="dxa"/>
            <w:noWrap/>
            <w:vAlign w:val="bottom"/>
            <w:hideMark/>
          </w:tcPr>
          <w:p w14:paraId="54D0B16A"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0.056</w:t>
            </w:r>
          </w:p>
        </w:tc>
        <w:tc>
          <w:tcPr>
            <w:tcW w:w="1133" w:type="dxa"/>
            <w:noWrap/>
            <w:vAlign w:val="bottom"/>
            <w:hideMark/>
          </w:tcPr>
          <w:p w14:paraId="6533173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0.052</w:t>
            </w:r>
          </w:p>
        </w:tc>
        <w:tc>
          <w:tcPr>
            <w:tcW w:w="1134" w:type="dxa"/>
            <w:noWrap/>
            <w:vAlign w:val="bottom"/>
            <w:hideMark/>
          </w:tcPr>
          <w:p w14:paraId="740E3513"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0.315</w:t>
            </w:r>
          </w:p>
        </w:tc>
      </w:tr>
      <w:tr w:rsidR="001A6F0F" w:rsidRPr="006A31C4" w14:paraId="71DA87CF" w14:textId="77777777" w:rsidTr="001A6F0F">
        <w:trPr>
          <w:trHeight w:val="255"/>
        </w:trPr>
        <w:tc>
          <w:tcPr>
            <w:tcW w:w="2268" w:type="dxa"/>
            <w:noWrap/>
            <w:vAlign w:val="bottom"/>
            <w:hideMark/>
          </w:tcPr>
          <w:p w14:paraId="71FAE7FF"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East Lothian</w:t>
            </w:r>
          </w:p>
        </w:tc>
        <w:tc>
          <w:tcPr>
            <w:tcW w:w="1133" w:type="dxa"/>
            <w:noWrap/>
            <w:vAlign w:val="bottom"/>
            <w:hideMark/>
          </w:tcPr>
          <w:p w14:paraId="41A3225D"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3.380</w:t>
            </w:r>
          </w:p>
        </w:tc>
        <w:tc>
          <w:tcPr>
            <w:tcW w:w="1133" w:type="dxa"/>
            <w:noWrap/>
            <w:vAlign w:val="bottom"/>
            <w:hideMark/>
          </w:tcPr>
          <w:p w14:paraId="2A6A260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0.186</w:t>
            </w:r>
          </w:p>
        </w:tc>
        <w:tc>
          <w:tcPr>
            <w:tcW w:w="1133" w:type="dxa"/>
            <w:noWrap/>
            <w:vAlign w:val="bottom"/>
            <w:hideMark/>
          </w:tcPr>
          <w:p w14:paraId="45417EA9"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3.566</w:t>
            </w:r>
          </w:p>
        </w:tc>
        <w:tc>
          <w:tcPr>
            <w:tcW w:w="1134" w:type="dxa"/>
            <w:noWrap/>
            <w:vAlign w:val="bottom"/>
            <w:hideMark/>
          </w:tcPr>
          <w:p w14:paraId="7CA4E1F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0.272</w:t>
            </w:r>
          </w:p>
        </w:tc>
        <w:tc>
          <w:tcPr>
            <w:tcW w:w="1133" w:type="dxa"/>
            <w:noWrap/>
            <w:vAlign w:val="bottom"/>
            <w:hideMark/>
          </w:tcPr>
          <w:p w14:paraId="5C7EF43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0.070</w:t>
            </w:r>
          </w:p>
        </w:tc>
        <w:tc>
          <w:tcPr>
            <w:tcW w:w="1133" w:type="dxa"/>
            <w:noWrap/>
            <w:vAlign w:val="bottom"/>
            <w:hideMark/>
          </w:tcPr>
          <w:p w14:paraId="0D6BB02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0.068</w:t>
            </w:r>
          </w:p>
        </w:tc>
        <w:tc>
          <w:tcPr>
            <w:tcW w:w="1134" w:type="dxa"/>
            <w:noWrap/>
            <w:vAlign w:val="bottom"/>
            <w:hideMark/>
          </w:tcPr>
          <w:p w14:paraId="7750CD22"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0.411</w:t>
            </w:r>
          </w:p>
        </w:tc>
      </w:tr>
      <w:tr w:rsidR="001A6F0F" w:rsidRPr="006A31C4" w14:paraId="43AC73EE" w14:textId="77777777" w:rsidTr="001A6F0F">
        <w:trPr>
          <w:trHeight w:val="255"/>
        </w:trPr>
        <w:tc>
          <w:tcPr>
            <w:tcW w:w="2268" w:type="dxa"/>
            <w:noWrap/>
            <w:vAlign w:val="bottom"/>
            <w:hideMark/>
          </w:tcPr>
          <w:p w14:paraId="67991725"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East Renfrewshire</w:t>
            </w:r>
          </w:p>
        </w:tc>
        <w:tc>
          <w:tcPr>
            <w:tcW w:w="1133" w:type="dxa"/>
            <w:noWrap/>
            <w:vAlign w:val="bottom"/>
            <w:hideMark/>
          </w:tcPr>
          <w:p w14:paraId="7719C58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2.632</w:t>
            </w:r>
          </w:p>
        </w:tc>
        <w:tc>
          <w:tcPr>
            <w:tcW w:w="1133" w:type="dxa"/>
            <w:noWrap/>
            <w:vAlign w:val="bottom"/>
            <w:hideMark/>
          </w:tcPr>
          <w:p w14:paraId="32BB92C7"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0.247</w:t>
            </w:r>
          </w:p>
        </w:tc>
        <w:tc>
          <w:tcPr>
            <w:tcW w:w="1133" w:type="dxa"/>
            <w:noWrap/>
            <w:vAlign w:val="bottom"/>
            <w:hideMark/>
          </w:tcPr>
          <w:p w14:paraId="60FAA1C0"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2.879</w:t>
            </w:r>
          </w:p>
        </w:tc>
        <w:tc>
          <w:tcPr>
            <w:tcW w:w="1134" w:type="dxa"/>
            <w:noWrap/>
            <w:vAlign w:val="bottom"/>
            <w:hideMark/>
          </w:tcPr>
          <w:p w14:paraId="0A1C2B3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0.202</w:t>
            </w:r>
          </w:p>
        </w:tc>
        <w:tc>
          <w:tcPr>
            <w:tcW w:w="1133" w:type="dxa"/>
            <w:noWrap/>
            <w:vAlign w:val="bottom"/>
            <w:hideMark/>
          </w:tcPr>
          <w:p w14:paraId="75B2254E"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0.052</w:t>
            </w:r>
          </w:p>
        </w:tc>
        <w:tc>
          <w:tcPr>
            <w:tcW w:w="1133" w:type="dxa"/>
            <w:noWrap/>
            <w:vAlign w:val="bottom"/>
            <w:hideMark/>
          </w:tcPr>
          <w:p w14:paraId="4E4E231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0.051</w:t>
            </w:r>
          </w:p>
        </w:tc>
        <w:tc>
          <w:tcPr>
            <w:tcW w:w="1134" w:type="dxa"/>
            <w:noWrap/>
            <w:vAlign w:val="bottom"/>
            <w:hideMark/>
          </w:tcPr>
          <w:p w14:paraId="26A5DA17"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0.305</w:t>
            </w:r>
          </w:p>
        </w:tc>
      </w:tr>
      <w:tr w:rsidR="001A6F0F" w:rsidRPr="006A31C4" w14:paraId="6435A71D" w14:textId="77777777" w:rsidTr="001A6F0F">
        <w:trPr>
          <w:trHeight w:val="255"/>
        </w:trPr>
        <w:tc>
          <w:tcPr>
            <w:tcW w:w="2268" w:type="dxa"/>
            <w:noWrap/>
            <w:vAlign w:val="bottom"/>
            <w:hideMark/>
          </w:tcPr>
          <w:p w14:paraId="49E8478E"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Falkirk</w:t>
            </w:r>
          </w:p>
        </w:tc>
        <w:tc>
          <w:tcPr>
            <w:tcW w:w="1133" w:type="dxa"/>
            <w:noWrap/>
            <w:vAlign w:val="bottom"/>
            <w:hideMark/>
          </w:tcPr>
          <w:p w14:paraId="6F0DE11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5.064</w:t>
            </w:r>
          </w:p>
        </w:tc>
        <w:tc>
          <w:tcPr>
            <w:tcW w:w="1133" w:type="dxa"/>
            <w:noWrap/>
            <w:vAlign w:val="bottom"/>
            <w:hideMark/>
          </w:tcPr>
          <w:p w14:paraId="0281D6CD"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0.185</w:t>
            </w:r>
          </w:p>
        </w:tc>
        <w:tc>
          <w:tcPr>
            <w:tcW w:w="1133" w:type="dxa"/>
            <w:noWrap/>
            <w:vAlign w:val="bottom"/>
            <w:hideMark/>
          </w:tcPr>
          <w:p w14:paraId="4A1A320A"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5.249</w:t>
            </w:r>
          </w:p>
        </w:tc>
        <w:tc>
          <w:tcPr>
            <w:tcW w:w="1134" w:type="dxa"/>
            <w:noWrap/>
            <w:vAlign w:val="bottom"/>
            <w:hideMark/>
          </w:tcPr>
          <w:p w14:paraId="69FE92FB"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0.396</w:t>
            </w:r>
          </w:p>
        </w:tc>
        <w:tc>
          <w:tcPr>
            <w:tcW w:w="1133" w:type="dxa"/>
            <w:noWrap/>
            <w:vAlign w:val="bottom"/>
            <w:hideMark/>
          </w:tcPr>
          <w:p w14:paraId="6659A6D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0.116</w:t>
            </w:r>
          </w:p>
        </w:tc>
        <w:tc>
          <w:tcPr>
            <w:tcW w:w="1133" w:type="dxa"/>
            <w:noWrap/>
            <w:vAlign w:val="bottom"/>
            <w:hideMark/>
          </w:tcPr>
          <w:p w14:paraId="1863338B"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0.100</w:t>
            </w:r>
          </w:p>
        </w:tc>
        <w:tc>
          <w:tcPr>
            <w:tcW w:w="1134" w:type="dxa"/>
            <w:noWrap/>
            <w:vAlign w:val="bottom"/>
            <w:hideMark/>
          </w:tcPr>
          <w:p w14:paraId="30BD2B5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0.612</w:t>
            </w:r>
          </w:p>
        </w:tc>
      </w:tr>
      <w:tr w:rsidR="001A6F0F" w:rsidRPr="006A31C4" w14:paraId="4397FE30" w14:textId="77777777" w:rsidTr="001A6F0F">
        <w:trPr>
          <w:trHeight w:val="255"/>
        </w:trPr>
        <w:tc>
          <w:tcPr>
            <w:tcW w:w="2268" w:type="dxa"/>
            <w:noWrap/>
            <w:vAlign w:val="bottom"/>
            <w:hideMark/>
          </w:tcPr>
          <w:p w14:paraId="7958E7F0"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Fife</w:t>
            </w:r>
          </w:p>
        </w:tc>
        <w:tc>
          <w:tcPr>
            <w:tcW w:w="1133" w:type="dxa"/>
            <w:noWrap/>
            <w:vAlign w:val="bottom"/>
            <w:hideMark/>
          </w:tcPr>
          <w:p w14:paraId="62C6CB4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11.975</w:t>
            </w:r>
          </w:p>
        </w:tc>
        <w:tc>
          <w:tcPr>
            <w:tcW w:w="1133" w:type="dxa"/>
            <w:noWrap/>
            <w:vAlign w:val="bottom"/>
            <w:hideMark/>
          </w:tcPr>
          <w:p w14:paraId="7F728FE7"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0.473</w:t>
            </w:r>
          </w:p>
        </w:tc>
        <w:tc>
          <w:tcPr>
            <w:tcW w:w="1133" w:type="dxa"/>
            <w:noWrap/>
            <w:vAlign w:val="bottom"/>
            <w:hideMark/>
          </w:tcPr>
          <w:p w14:paraId="69079AE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12.448</w:t>
            </w:r>
          </w:p>
        </w:tc>
        <w:tc>
          <w:tcPr>
            <w:tcW w:w="1134" w:type="dxa"/>
            <w:noWrap/>
            <w:vAlign w:val="bottom"/>
            <w:hideMark/>
          </w:tcPr>
          <w:p w14:paraId="63CFB32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0.953</w:t>
            </w:r>
          </w:p>
        </w:tc>
        <w:tc>
          <w:tcPr>
            <w:tcW w:w="1133" w:type="dxa"/>
            <w:noWrap/>
            <w:vAlign w:val="bottom"/>
            <w:hideMark/>
          </w:tcPr>
          <w:p w14:paraId="321850A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0.271</w:t>
            </w:r>
          </w:p>
        </w:tc>
        <w:tc>
          <w:tcPr>
            <w:tcW w:w="1133" w:type="dxa"/>
            <w:noWrap/>
            <w:vAlign w:val="bottom"/>
            <w:hideMark/>
          </w:tcPr>
          <w:p w14:paraId="69DA278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0.240</w:t>
            </w:r>
          </w:p>
        </w:tc>
        <w:tc>
          <w:tcPr>
            <w:tcW w:w="1134" w:type="dxa"/>
            <w:noWrap/>
            <w:vAlign w:val="bottom"/>
            <w:hideMark/>
          </w:tcPr>
          <w:p w14:paraId="712C17B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1.463</w:t>
            </w:r>
          </w:p>
        </w:tc>
      </w:tr>
      <w:tr w:rsidR="001A6F0F" w:rsidRPr="006A31C4" w14:paraId="15B9E53B" w14:textId="77777777" w:rsidTr="001A6F0F">
        <w:trPr>
          <w:trHeight w:val="255"/>
        </w:trPr>
        <w:tc>
          <w:tcPr>
            <w:tcW w:w="2268" w:type="dxa"/>
            <w:noWrap/>
            <w:vAlign w:val="bottom"/>
            <w:hideMark/>
          </w:tcPr>
          <w:p w14:paraId="38FF3E65"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Glasgow City</w:t>
            </w:r>
          </w:p>
        </w:tc>
        <w:tc>
          <w:tcPr>
            <w:tcW w:w="1133" w:type="dxa"/>
            <w:noWrap/>
            <w:vAlign w:val="bottom"/>
            <w:hideMark/>
          </w:tcPr>
          <w:p w14:paraId="3309830E"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20.638</w:t>
            </w:r>
          </w:p>
        </w:tc>
        <w:tc>
          <w:tcPr>
            <w:tcW w:w="1133" w:type="dxa"/>
            <w:noWrap/>
            <w:vAlign w:val="bottom"/>
            <w:hideMark/>
          </w:tcPr>
          <w:p w14:paraId="0EF58C2D"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0.337</w:t>
            </w:r>
          </w:p>
        </w:tc>
        <w:tc>
          <w:tcPr>
            <w:tcW w:w="1133" w:type="dxa"/>
            <w:noWrap/>
            <w:vAlign w:val="bottom"/>
            <w:hideMark/>
          </w:tcPr>
          <w:p w14:paraId="7D0F56E3"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20.975</w:t>
            </w:r>
          </w:p>
        </w:tc>
        <w:tc>
          <w:tcPr>
            <w:tcW w:w="1134" w:type="dxa"/>
            <w:noWrap/>
            <w:vAlign w:val="bottom"/>
            <w:hideMark/>
          </w:tcPr>
          <w:p w14:paraId="508539AD"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1.761</w:t>
            </w:r>
          </w:p>
        </w:tc>
        <w:tc>
          <w:tcPr>
            <w:tcW w:w="1133" w:type="dxa"/>
            <w:noWrap/>
            <w:vAlign w:val="bottom"/>
            <w:hideMark/>
          </w:tcPr>
          <w:p w14:paraId="22027B6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0.568</w:t>
            </w:r>
          </w:p>
        </w:tc>
        <w:tc>
          <w:tcPr>
            <w:tcW w:w="1133" w:type="dxa"/>
            <w:noWrap/>
            <w:vAlign w:val="bottom"/>
            <w:hideMark/>
          </w:tcPr>
          <w:p w14:paraId="5444612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0.443</w:t>
            </w:r>
          </w:p>
        </w:tc>
        <w:tc>
          <w:tcPr>
            <w:tcW w:w="1134" w:type="dxa"/>
            <w:noWrap/>
            <w:vAlign w:val="bottom"/>
            <w:hideMark/>
          </w:tcPr>
          <w:p w14:paraId="5E4EF27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2.772</w:t>
            </w:r>
          </w:p>
        </w:tc>
      </w:tr>
      <w:tr w:rsidR="001A6F0F" w:rsidRPr="006A31C4" w14:paraId="388C69D5" w14:textId="77777777" w:rsidTr="001A6F0F">
        <w:trPr>
          <w:trHeight w:val="255"/>
        </w:trPr>
        <w:tc>
          <w:tcPr>
            <w:tcW w:w="2268" w:type="dxa"/>
            <w:noWrap/>
            <w:vAlign w:val="bottom"/>
            <w:hideMark/>
          </w:tcPr>
          <w:p w14:paraId="179BBBEA"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Highland</w:t>
            </w:r>
          </w:p>
        </w:tc>
        <w:tc>
          <w:tcPr>
            <w:tcW w:w="1133" w:type="dxa"/>
            <w:noWrap/>
            <w:vAlign w:val="bottom"/>
            <w:hideMark/>
          </w:tcPr>
          <w:p w14:paraId="4C84AB5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7.832</w:t>
            </w:r>
          </w:p>
        </w:tc>
        <w:tc>
          <w:tcPr>
            <w:tcW w:w="1133" w:type="dxa"/>
            <w:noWrap/>
            <w:vAlign w:val="bottom"/>
            <w:hideMark/>
          </w:tcPr>
          <w:p w14:paraId="18AD1BD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0.369</w:t>
            </w:r>
          </w:p>
        </w:tc>
        <w:tc>
          <w:tcPr>
            <w:tcW w:w="1133" w:type="dxa"/>
            <w:noWrap/>
            <w:vAlign w:val="bottom"/>
            <w:hideMark/>
          </w:tcPr>
          <w:p w14:paraId="4410EF27"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8.201</w:t>
            </w:r>
          </w:p>
        </w:tc>
        <w:tc>
          <w:tcPr>
            <w:tcW w:w="1134" w:type="dxa"/>
            <w:noWrap/>
            <w:vAlign w:val="bottom"/>
            <w:hideMark/>
          </w:tcPr>
          <w:p w14:paraId="58B376EB"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0.687</w:t>
            </w:r>
          </w:p>
        </w:tc>
        <w:tc>
          <w:tcPr>
            <w:tcW w:w="1133" w:type="dxa"/>
            <w:noWrap/>
            <w:vAlign w:val="bottom"/>
            <w:hideMark/>
          </w:tcPr>
          <w:p w14:paraId="77E607B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0.147</w:t>
            </w:r>
          </w:p>
        </w:tc>
        <w:tc>
          <w:tcPr>
            <w:tcW w:w="1133" w:type="dxa"/>
            <w:noWrap/>
            <w:vAlign w:val="bottom"/>
            <w:hideMark/>
          </w:tcPr>
          <w:p w14:paraId="4EC2B20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0.173</w:t>
            </w:r>
          </w:p>
        </w:tc>
        <w:tc>
          <w:tcPr>
            <w:tcW w:w="1134" w:type="dxa"/>
            <w:noWrap/>
            <w:vAlign w:val="bottom"/>
            <w:hideMark/>
          </w:tcPr>
          <w:p w14:paraId="1E337E99"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1.007</w:t>
            </w:r>
          </w:p>
        </w:tc>
      </w:tr>
      <w:tr w:rsidR="001A6F0F" w:rsidRPr="006A31C4" w14:paraId="5E69D90C" w14:textId="77777777" w:rsidTr="001A6F0F">
        <w:trPr>
          <w:trHeight w:val="255"/>
        </w:trPr>
        <w:tc>
          <w:tcPr>
            <w:tcW w:w="2268" w:type="dxa"/>
            <w:noWrap/>
            <w:vAlign w:val="bottom"/>
            <w:hideMark/>
          </w:tcPr>
          <w:p w14:paraId="7DC4D755"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Inverclyde</w:t>
            </w:r>
          </w:p>
        </w:tc>
        <w:tc>
          <w:tcPr>
            <w:tcW w:w="1133" w:type="dxa"/>
            <w:noWrap/>
            <w:vAlign w:val="bottom"/>
            <w:hideMark/>
          </w:tcPr>
          <w:p w14:paraId="0385D89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3.046</w:t>
            </w:r>
          </w:p>
        </w:tc>
        <w:tc>
          <w:tcPr>
            <w:tcW w:w="1133" w:type="dxa"/>
            <w:noWrap/>
            <w:vAlign w:val="bottom"/>
            <w:hideMark/>
          </w:tcPr>
          <w:p w14:paraId="40D38E8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0.082</w:t>
            </w:r>
          </w:p>
        </w:tc>
        <w:tc>
          <w:tcPr>
            <w:tcW w:w="1133" w:type="dxa"/>
            <w:noWrap/>
            <w:vAlign w:val="bottom"/>
            <w:hideMark/>
          </w:tcPr>
          <w:p w14:paraId="0F105B57"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3.129</w:t>
            </w:r>
          </w:p>
        </w:tc>
        <w:tc>
          <w:tcPr>
            <w:tcW w:w="1134" w:type="dxa"/>
            <w:noWrap/>
            <w:vAlign w:val="bottom"/>
            <w:hideMark/>
          </w:tcPr>
          <w:p w14:paraId="018CE137"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0.195</w:t>
            </w:r>
          </w:p>
        </w:tc>
        <w:tc>
          <w:tcPr>
            <w:tcW w:w="1133" w:type="dxa"/>
            <w:noWrap/>
            <w:vAlign w:val="bottom"/>
            <w:hideMark/>
          </w:tcPr>
          <w:p w14:paraId="14A8AED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0.059</w:t>
            </w:r>
          </w:p>
        </w:tc>
        <w:tc>
          <w:tcPr>
            <w:tcW w:w="1133" w:type="dxa"/>
            <w:noWrap/>
            <w:vAlign w:val="bottom"/>
            <w:hideMark/>
          </w:tcPr>
          <w:p w14:paraId="2647EF88"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0.049</w:t>
            </w:r>
          </w:p>
        </w:tc>
        <w:tc>
          <w:tcPr>
            <w:tcW w:w="1134" w:type="dxa"/>
            <w:noWrap/>
            <w:vAlign w:val="bottom"/>
            <w:hideMark/>
          </w:tcPr>
          <w:p w14:paraId="30BD04B1"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0.303</w:t>
            </w:r>
          </w:p>
        </w:tc>
      </w:tr>
      <w:tr w:rsidR="001A6F0F" w:rsidRPr="006A31C4" w14:paraId="618144EE" w14:textId="77777777" w:rsidTr="001A6F0F">
        <w:trPr>
          <w:trHeight w:val="255"/>
        </w:trPr>
        <w:tc>
          <w:tcPr>
            <w:tcW w:w="2268" w:type="dxa"/>
            <w:noWrap/>
            <w:vAlign w:val="bottom"/>
            <w:hideMark/>
          </w:tcPr>
          <w:p w14:paraId="1DB88248"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Midlothian</w:t>
            </w:r>
          </w:p>
        </w:tc>
        <w:tc>
          <w:tcPr>
            <w:tcW w:w="1133" w:type="dxa"/>
            <w:noWrap/>
            <w:vAlign w:val="bottom"/>
            <w:hideMark/>
          </w:tcPr>
          <w:p w14:paraId="4A6AC8F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2.703</w:t>
            </w:r>
          </w:p>
        </w:tc>
        <w:tc>
          <w:tcPr>
            <w:tcW w:w="1133" w:type="dxa"/>
            <w:noWrap/>
            <w:vAlign w:val="bottom"/>
            <w:hideMark/>
          </w:tcPr>
          <w:p w14:paraId="7DAB95A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0.111</w:t>
            </w:r>
          </w:p>
        </w:tc>
        <w:tc>
          <w:tcPr>
            <w:tcW w:w="1133" w:type="dxa"/>
            <w:noWrap/>
            <w:vAlign w:val="bottom"/>
            <w:hideMark/>
          </w:tcPr>
          <w:p w14:paraId="3A98E1D0"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2.814</w:t>
            </w:r>
          </w:p>
        </w:tc>
        <w:tc>
          <w:tcPr>
            <w:tcW w:w="1134" w:type="dxa"/>
            <w:noWrap/>
            <w:vAlign w:val="bottom"/>
            <w:hideMark/>
          </w:tcPr>
          <w:p w14:paraId="161BC09B"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0.249</w:t>
            </w:r>
          </w:p>
        </w:tc>
        <w:tc>
          <w:tcPr>
            <w:tcW w:w="1133" w:type="dxa"/>
            <w:noWrap/>
            <w:vAlign w:val="bottom"/>
            <w:hideMark/>
          </w:tcPr>
          <w:p w14:paraId="41B8BE3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0.071</w:t>
            </w:r>
          </w:p>
        </w:tc>
        <w:tc>
          <w:tcPr>
            <w:tcW w:w="1133" w:type="dxa"/>
            <w:noWrap/>
            <w:vAlign w:val="bottom"/>
            <w:hideMark/>
          </w:tcPr>
          <w:p w14:paraId="67654D5E"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0.063</w:t>
            </w:r>
          </w:p>
        </w:tc>
        <w:tc>
          <w:tcPr>
            <w:tcW w:w="1134" w:type="dxa"/>
            <w:noWrap/>
            <w:vAlign w:val="bottom"/>
            <w:hideMark/>
          </w:tcPr>
          <w:p w14:paraId="3455FAB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0.382</w:t>
            </w:r>
          </w:p>
        </w:tc>
      </w:tr>
      <w:tr w:rsidR="001A6F0F" w:rsidRPr="006A31C4" w14:paraId="5BC9680F" w14:textId="77777777" w:rsidTr="001A6F0F">
        <w:trPr>
          <w:trHeight w:val="255"/>
        </w:trPr>
        <w:tc>
          <w:tcPr>
            <w:tcW w:w="2268" w:type="dxa"/>
            <w:noWrap/>
            <w:vAlign w:val="bottom"/>
            <w:hideMark/>
          </w:tcPr>
          <w:p w14:paraId="373E4C9B"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Moray</w:t>
            </w:r>
          </w:p>
        </w:tc>
        <w:tc>
          <w:tcPr>
            <w:tcW w:w="1133" w:type="dxa"/>
            <w:noWrap/>
            <w:vAlign w:val="bottom"/>
            <w:hideMark/>
          </w:tcPr>
          <w:p w14:paraId="6C0DB098"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3.196</w:t>
            </w:r>
          </w:p>
        </w:tc>
        <w:tc>
          <w:tcPr>
            <w:tcW w:w="1133" w:type="dxa"/>
            <w:noWrap/>
            <w:vAlign w:val="bottom"/>
            <w:hideMark/>
          </w:tcPr>
          <w:p w14:paraId="643CB2B3"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0.137</w:t>
            </w:r>
          </w:p>
        </w:tc>
        <w:tc>
          <w:tcPr>
            <w:tcW w:w="1133" w:type="dxa"/>
            <w:noWrap/>
            <w:vAlign w:val="bottom"/>
            <w:hideMark/>
          </w:tcPr>
          <w:p w14:paraId="07A0640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3.332</w:t>
            </w:r>
          </w:p>
        </w:tc>
        <w:tc>
          <w:tcPr>
            <w:tcW w:w="1134" w:type="dxa"/>
            <w:noWrap/>
            <w:vAlign w:val="bottom"/>
            <w:hideMark/>
          </w:tcPr>
          <w:p w14:paraId="2F2B3D8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0.255</w:t>
            </w:r>
          </w:p>
        </w:tc>
        <w:tc>
          <w:tcPr>
            <w:tcW w:w="1133" w:type="dxa"/>
            <w:noWrap/>
            <w:vAlign w:val="bottom"/>
            <w:hideMark/>
          </w:tcPr>
          <w:p w14:paraId="28E573F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0.059</w:t>
            </w:r>
          </w:p>
        </w:tc>
        <w:tc>
          <w:tcPr>
            <w:tcW w:w="1133" w:type="dxa"/>
            <w:noWrap/>
            <w:vAlign w:val="bottom"/>
            <w:hideMark/>
          </w:tcPr>
          <w:p w14:paraId="059D81A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0.064</w:t>
            </w:r>
          </w:p>
        </w:tc>
        <w:tc>
          <w:tcPr>
            <w:tcW w:w="1134" w:type="dxa"/>
            <w:noWrap/>
            <w:vAlign w:val="bottom"/>
            <w:hideMark/>
          </w:tcPr>
          <w:p w14:paraId="06829CE3"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0.378</w:t>
            </w:r>
          </w:p>
        </w:tc>
      </w:tr>
      <w:tr w:rsidR="001A6F0F" w:rsidRPr="006A31C4" w14:paraId="301F2780" w14:textId="77777777" w:rsidTr="001A6F0F">
        <w:trPr>
          <w:trHeight w:val="255"/>
        </w:trPr>
        <w:tc>
          <w:tcPr>
            <w:tcW w:w="2268" w:type="dxa"/>
            <w:noWrap/>
            <w:vAlign w:val="bottom"/>
            <w:hideMark/>
          </w:tcPr>
          <w:p w14:paraId="58A9FF1C"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Na h-</w:t>
            </w:r>
            <w:proofErr w:type="spellStart"/>
            <w:r w:rsidRPr="006A31C4">
              <w:rPr>
                <w:rFonts w:eastAsia="Times New Roman" w:cs="Arial"/>
                <w:kern w:val="0"/>
                <w:sz w:val="21"/>
                <w:szCs w:val="21"/>
                <w:lang w:eastAsia="en-GB"/>
                <w14:ligatures w14:val="none"/>
              </w:rPr>
              <w:t>Eileanan</w:t>
            </w:r>
            <w:proofErr w:type="spellEnd"/>
            <w:r w:rsidRPr="006A31C4">
              <w:rPr>
                <w:rFonts w:eastAsia="Times New Roman" w:cs="Arial"/>
                <w:kern w:val="0"/>
                <w:sz w:val="21"/>
                <w:szCs w:val="21"/>
                <w:lang w:eastAsia="en-GB"/>
                <w14:ligatures w14:val="none"/>
              </w:rPr>
              <w:t xml:space="preserve"> Siar</w:t>
            </w:r>
          </w:p>
        </w:tc>
        <w:tc>
          <w:tcPr>
            <w:tcW w:w="1133" w:type="dxa"/>
            <w:noWrap/>
            <w:vAlign w:val="bottom"/>
            <w:hideMark/>
          </w:tcPr>
          <w:p w14:paraId="0CACB21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1.203</w:t>
            </w:r>
          </w:p>
        </w:tc>
        <w:tc>
          <w:tcPr>
            <w:tcW w:w="1133" w:type="dxa"/>
            <w:noWrap/>
            <w:vAlign w:val="bottom"/>
            <w:hideMark/>
          </w:tcPr>
          <w:p w14:paraId="5838B27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0.026</w:t>
            </w:r>
          </w:p>
        </w:tc>
        <w:tc>
          <w:tcPr>
            <w:tcW w:w="1133" w:type="dxa"/>
            <w:noWrap/>
            <w:vAlign w:val="bottom"/>
            <w:hideMark/>
          </w:tcPr>
          <w:p w14:paraId="122322C0"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1.229</w:t>
            </w:r>
          </w:p>
        </w:tc>
        <w:tc>
          <w:tcPr>
            <w:tcW w:w="1134" w:type="dxa"/>
            <w:noWrap/>
            <w:vAlign w:val="bottom"/>
            <w:hideMark/>
          </w:tcPr>
          <w:p w14:paraId="68F8D6F8"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0.087</w:t>
            </w:r>
          </w:p>
        </w:tc>
        <w:tc>
          <w:tcPr>
            <w:tcW w:w="1133" w:type="dxa"/>
            <w:noWrap/>
            <w:vAlign w:val="bottom"/>
            <w:hideMark/>
          </w:tcPr>
          <w:p w14:paraId="2D5BE347"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0.013</w:t>
            </w:r>
          </w:p>
        </w:tc>
        <w:tc>
          <w:tcPr>
            <w:tcW w:w="1133" w:type="dxa"/>
            <w:noWrap/>
            <w:vAlign w:val="bottom"/>
            <w:hideMark/>
          </w:tcPr>
          <w:p w14:paraId="392AE5F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0.022</w:t>
            </w:r>
          </w:p>
        </w:tc>
        <w:tc>
          <w:tcPr>
            <w:tcW w:w="1134" w:type="dxa"/>
            <w:noWrap/>
            <w:vAlign w:val="bottom"/>
            <w:hideMark/>
          </w:tcPr>
          <w:p w14:paraId="3DC455D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0.122</w:t>
            </w:r>
          </w:p>
        </w:tc>
      </w:tr>
      <w:tr w:rsidR="001A6F0F" w:rsidRPr="006A31C4" w14:paraId="4E8ED294" w14:textId="77777777" w:rsidTr="001A6F0F">
        <w:trPr>
          <w:trHeight w:val="255"/>
        </w:trPr>
        <w:tc>
          <w:tcPr>
            <w:tcW w:w="2268" w:type="dxa"/>
            <w:noWrap/>
            <w:vAlign w:val="bottom"/>
            <w:hideMark/>
          </w:tcPr>
          <w:p w14:paraId="363B2B06"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North Ayrshire</w:t>
            </w:r>
          </w:p>
        </w:tc>
        <w:tc>
          <w:tcPr>
            <w:tcW w:w="1133" w:type="dxa"/>
            <w:noWrap/>
            <w:vAlign w:val="bottom"/>
            <w:hideMark/>
          </w:tcPr>
          <w:p w14:paraId="16EE50A3"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5.119</w:t>
            </w:r>
          </w:p>
        </w:tc>
        <w:tc>
          <w:tcPr>
            <w:tcW w:w="1133" w:type="dxa"/>
            <w:noWrap/>
            <w:vAlign w:val="bottom"/>
            <w:hideMark/>
          </w:tcPr>
          <w:p w14:paraId="4F982D5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0.144</w:t>
            </w:r>
          </w:p>
        </w:tc>
        <w:tc>
          <w:tcPr>
            <w:tcW w:w="1133" w:type="dxa"/>
            <w:noWrap/>
            <w:vAlign w:val="bottom"/>
            <w:hideMark/>
          </w:tcPr>
          <w:p w14:paraId="1C0F6DCB"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5.262</w:t>
            </w:r>
          </w:p>
        </w:tc>
        <w:tc>
          <w:tcPr>
            <w:tcW w:w="1134" w:type="dxa"/>
            <w:noWrap/>
            <w:vAlign w:val="bottom"/>
            <w:hideMark/>
          </w:tcPr>
          <w:p w14:paraId="16F3D7C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0.375</w:t>
            </w:r>
          </w:p>
        </w:tc>
        <w:tc>
          <w:tcPr>
            <w:tcW w:w="1133" w:type="dxa"/>
            <w:noWrap/>
            <w:vAlign w:val="bottom"/>
            <w:hideMark/>
          </w:tcPr>
          <w:p w14:paraId="23A95DE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0.111</w:t>
            </w:r>
          </w:p>
        </w:tc>
        <w:tc>
          <w:tcPr>
            <w:tcW w:w="1133" w:type="dxa"/>
            <w:noWrap/>
            <w:vAlign w:val="bottom"/>
            <w:hideMark/>
          </w:tcPr>
          <w:p w14:paraId="33856A99"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0.094</w:t>
            </w:r>
          </w:p>
        </w:tc>
        <w:tc>
          <w:tcPr>
            <w:tcW w:w="1134" w:type="dxa"/>
            <w:noWrap/>
            <w:vAlign w:val="bottom"/>
            <w:hideMark/>
          </w:tcPr>
          <w:p w14:paraId="20574215"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0.581</w:t>
            </w:r>
          </w:p>
        </w:tc>
      </w:tr>
      <w:tr w:rsidR="001A6F0F" w:rsidRPr="006A31C4" w14:paraId="0E001C71" w14:textId="77777777" w:rsidTr="001A6F0F">
        <w:trPr>
          <w:trHeight w:val="255"/>
        </w:trPr>
        <w:tc>
          <w:tcPr>
            <w:tcW w:w="2268" w:type="dxa"/>
            <w:noWrap/>
            <w:vAlign w:val="bottom"/>
            <w:hideMark/>
          </w:tcPr>
          <w:p w14:paraId="58316562"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North Lanarkshire</w:t>
            </w:r>
          </w:p>
        </w:tc>
        <w:tc>
          <w:tcPr>
            <w:tcW w:w="1133" w:type="dxa"/>
            <w:noWrap/>
            <w:vAlign w:val="bottom"/>
            <w:hideMark/>
          </w:tcPr>
          <w:p w14:paraId="7A0B56D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11.264</w:t>
            </w:r>
          </w:p>
        </w:tc>
        <w:tc>
          <w:tcPr>
            <w:tcW w:w="1133" w:type="dxa"/>
            <w:noWrap/>
            <w:vAlign w:val="bottom"/>
            <w:hideMark/>
          </w:tcPr>
          <w:p w14:paraId="200F41B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0.252</w:t>
            </w:r>
          </w:p>
        </w:tc>
        <w:tc>
          <w:tcPr>
            <w:tcW w:w="1133" w:type="dxa"/>
            <w:noWrap/>
            <w:vAlign w:val="bottom"/>
            <w:hideMark/>
          </w:tcPr>
          <w:p w14:paraId="0458A13D"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11.515</w:t>
            </w:r>
          </w:p>
        </w:tc>
        <w:tc>
          <w:tcPr>
            <w:tcW w:w="1134" w:type="dxa"/>
            <w:noWrap/>
            <w:vAlign w:val="bottom"/>
            <w:hideMark/>
          </w:tcPr>
          <w:p w14:paraId="572E448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0.932</w:t>
            </w:r>
          </w:p>
        </w:tc>
        <w:tc>
          <w:tcPr>
            <w:tcW w:w="1133" w:type="dxa"/>
            <w:noWrap/>
            <w:vAlign w:val="bottom"/>
            <w:hideMark/>
          </w:tcPr>
          <w:p w14:paraId="2507BEB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0.284</w:t>
            </w:r>
          </w:p>
        </w:tc>
        <w:tc>
          <w:tcPr>
            <w:tcW w:w="1133" w:type="dxa"/>
            <w:noWrap/>
            <w:vAlign w:val="bottom"/>
            <w:hideMark/>
          </w:tcPr>
          <w:p w14:paraId="352B695D"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0.235</w:t>
            </w:r>
          </w:p>
        </w:tc>
        <w:tc>
          <w:tcPr>
            <w:tcW w:w="1134" w:type="dxa"/>
            <w:noWrap/>
            <w:vAlign w:val="bottom"/>
            <w:hideMark/>
          </w:tcPr>
          <w:p w14:paraId="5D75DF30"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1.451</w:t>
            </w:r>
          </w:p>
        </w:tc>
      </w:tr>
      <w:tr w:rsidR="001A6F0F" w:rsidRPr="006A31C4" w14:paraId="27354B25" w14:textId="77777777" w:rsidTr="001A6F0F">
        <w:trPr>
          <w:trHeight w:val="255"/>
        </w:trPr>
        <w:tc>
          <w:tcPr>
            <w:tcW w:w="2268" w:type="dxa"/>
            <w:noWrap/>
            <w:vAlign w:val="bottom"/>
            <w:hideMark/>
          </w:tcPr>
          <w:p w14:paraId="354FD306"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Orkney Islands</w:t>
            </w:r>
          </w:p>
        </w:tc>
        <w:tc>
          <w:tcPr>
            <w:tcW w:w="1133" w:type="dxa"/>
            <w:noWrap/>
            <w:vAlign w:val="bottom"/>
            <w:hideMark/>
          </w:tcPr>
          <w:p w14:paraId="525F5AF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0.780</w:t>
            </w:r>
          </w:p>
        </w:tc>
        <w:tc>
          <w:tcPr>
            <w:tcW w:w="1133" w:type="dxa"/>
            <w:noWrap/>
            <w:vAlign w:val="bottom"/>
            <w:hideMark/>
          </w:tcPr>
          <w:p w14:paraId="2F31315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0.025</w:t>
            </w:r>
          </w:p>
        </w:tc>
        <w:tc>
          <w:tcPr>
            <w:tcW w:w="1133" w:type="dxa"/>
            <w:noWrap/>
            <w:vAlign w:val="bottom"/>
            <w:hideMark/>
          </w:tcPr>
          <w:p w14:paraId="0D3D8868"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0.805</w:t>
            </w:r>
          </w:p>
        </w:tc>
        <w:tc>
          <w:tcPr>
            <w:tcW w:w="1134" w:type="dxa"/>
            <w:noWrap/>
            <w:vAlign w:val="bottom"/>
            <w:hideMark/>
          </w:tcPr>
          <w:p w14:paraId="0CA6B60E"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0.069</w:t>
            </w:r>
          </w:p>
        </w:tc>
        <w:tc>
          <w:tcPr>
            <w:tcW w:w="1133" w:type="dxa"/>
            <w:noWrap/>
            <w:vAlign w:val="bottom"/>
            <w:hideMark/>
          </w:tcPr>
          <w:p w14:paraId="72A2FA5E"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0.011</w:t>
            </w:r>
          </w:p>
        </w:tc>
        <w:tc>
          <w:tcPr>
            <w:tcW w:w="1133" w:type="dxa"/>
            <w:noWrap/>
            <w:vAlign w:val="bottom"/>
            <w:hideMark/>
          </w:tcPr>
          <w:p w14:paraId="716BECB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0.017</w:t>
            </w:r>
          </w:p>
        </w:tc>
        <w:tc>
          <w:tcPr>
            <w:tcW w:w="1134" w:type="dxa"/>
            <w:noWrap/>
            <w:vAlign w:val="bottom"/>
            <w:hideMark/>
          </w:tcPr>
          <w:p w14:paraId="54644EF1"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0.098</w:t>
            </w:r>
          </w:p>
        </w:tc>
      </w:tr>
      <w:tr w:rsidR="001A6F0F" w:rsidRPr="006A31C4" w14:paraId="67A28850" w14:textId="77777777" w:rsidTr="001A6F0F">
        <w:trPr>
          <w:trHeight w:val="255"/>
        </w:trPr>
        <w:tc>
          <w:tcPr>
            <w:tcW w:w="2268" w:type="dxa"/>
            <w:noWrap/>
            <w:vAlign w:val="bottom"/>
            <w:hideMark/>
          </w:tcPr>
          <w:p w14:paraId="42908AE1"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Perth &amp; Kinross</w:t>
            </w:r>
          </w:p>
        </w:tc>
        <w:tc>
          <w:tcPr>
            <w:tcW w:w="1133" w:type="dxa"/>
            <w:noWrap/>
            <w:vAlign w:val="bottom"/>
            <w:hideMark/>
          </w:tcPr>
          <w:p w14:paraId="3E2CBBA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5.036</w:t>
            </w:r>
          </w:p>
        </w:tc>
        <w:tc>
          <w:tcPr>
            <w:tcW w:w="1133" w:type="dxa"/>
            <w:noWrap/>
            <w:vAlign w:val="bottom"/>
            <w:hideMark/>
          </w:tcPr>
          <w:p w14:paraId="55287878"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0.326</w:t>
            </w:r>
          </w:p>
        </w:tc>
        <w:tc>
          <w:tcPr>
            <w:tcW w:w="1133" w:type="dxa"/>
            <w:noWrap/>
            <w:vAlign w:val="bottom"/>
            <w:hideMark/>
          </w:tcPr>
          <w:p w14:paraId="0CA27C46"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5.363</w:t>
            </w:r>
          </w:p>
        </w:tc>
        <w:tc>
          <w:tcPr>
            <w:tcW w:w="1134" w:type="dxa"/>
            <w:noWrap/>
            <w:vAlign w:val="bottom"/>
            <w:hideMark/>
          </w:tcPr>
          <w:p w14:paraId="5086336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0.385</w:t>
            </w:r>
          </w:p>
        </w:tc>
        <w:tc>
          <w:tcPr>
            <w:tcW w:w="1133" w:type="dxa"/>
            <w:noWrap/>
            <w:vAlign w:val="bottom"/>
            <w:hideMark/>
          </w:tcPr>
          <w:p w14:paraId="476E526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0.086</w:t>
            </w:r>
          </w:p>
        </w:tc>
        <w:tc>
          <w:tcPr>
            <w:tcW w:w="1133" w:type="dxa"/>
            <w:noWrap/>
            <w:vAlign w:val="bottom"/>
            <w:hideMark/>
          </w:tcPr>
          <w:p w14:paraId="6E5B1EEA"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0.097</w:t>
            </w:r>
          </w:p>
        </w:tc>
        <w:tc>
          <w:tcPr>
            <w:tcW w:w="1134" w:type="dxa"/>
            <w:noWrap/>
            <w:vAlign w:val="bottom"/>
            <w:hideMark/>
          </w:tcPr>
          <w:p w14:paraId="38BDE261"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0.569</w:t>
            </w:r>
          </w:p>
        </w:tc>
      </w:tr>
      <w:tr w:rsidR="001A6F0F" w:rsidRPr="006A31C4" w14:paraId="792B9C90" w14:textId="77777777" w:rsidTr="001A6F0F">
        <w:trPr>
          <w:trHeight w:val="255"/>
        </w:trPr>
        <w:tc>
          <w:tcPr>
            <w:tcW w:w="2268" w:type="dxa"/>
            <w:noWrap/>
            <w:vAlign w:val="bottom"/>
            <w:hideMark/>
          </w:tcPr>
          <w:p w14:paraId="61546689"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Renfrewshire</w:t>
            </w:r>
          </w:p>
        </w:tc>
        <w:tc>
          <w:tcPr>
            <w:tcW w:w="1133" w:type="dxa"/>
            <w:noWrap/>
            <w:vAlign w:val="bottom"/>
            <w:hideMark/>
          </w:tcPr>
          <w:p w14:paraId="7DEE912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6.034</w:t>
            </w:r>
          </w:p>
        </w:tc>
        <w:tc>
          <w:tcPr>
            <w:tcW w:w="1133" w:type="dxa"/>
            <w:noWrap/>
            <w:vAlign w:val="bottom"/>
            <w:hideMark/>
          </w:tcPr>
          <w:p w14:paraId="44444B68"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0.224</w:t>
            </w:r>
          </w:p>
        </w:tc>
        <w:tc>
          <w:tcPr>
            <w:tcW w:w="1133" w:type="dxa"/>
            <w:noWrap/>
            <w:vAlign w:val="bottom"/>
            <w:hideMark/>
          </w:tcPr>
          <w:p w14:paraId="0B0DA987"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6.258</w:t>
            </w:r>
          </w:p>
        </w:tc>
        <w:tc>
          <w:tcPr>
            <w:tcW w:w="1134" w:type="dxa"/>
            <w:noWrap/>
            <w:vAlign w:val="bottom"/>
            <w:hideMark/>
          </w:tcPr>
          <w:p w14:paraId="262D643B"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0.430</w:t>
            </w:r>
          </w:p>
        </w:tc>
        <w:tc>
          <w:tcPr>
            <w:tcW w:w="1133" w:type="dxa"/>
            <w:noWrap/>
            <w:vAlign w:val="bottom"/>
            <w:hideMark/>
          </w:tcPr>
          <w:p w14:paraId="366AEA2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0.130</w:t>
            </w:r>
          </w:p>
        </w:tc>
        <w:tc>
          <w:tcPr>
            <w:tcW w:w="1133" w:type="dxa"/>
            <w:noWrap/>
            <w:vAlign w:val="bottom"/>
            <w:hideMark/>
          </w:tcPr>
          <w:p w14:paraId="3EA58EEB"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0.108</w:t>
            </w:r>
          </w:p>
        </w:tc>
        <w:tc>
          <w:tcPr>
            <w:tcW w:w="1134" w:type="dxa"/>
            <w:noWrap/>
            <w:vAlign w:val="bottom"/>
            <w:hideMark/>
          </w:tcPr>
          <w:p w14:paraId="7068A269"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0.669</w:t>
            </w:r>
          </w:p>
        </w:tc>
      </w:tr>
      <w:tr w:rsidR="001A6F0F" w:rsidRPr="006A31C4" w14:paraId="47638341" w14:textId="77777777" w:rsidTr="001A6F0F">
        <w:trPr>
          <w:trHeight w:val="255"/>
        </w:trPr>
        <w:tc>
          <w:tcPr>
            <w:tcW w:w="2268" w:type="dxa"/>
            <w:noWrap/>
            <w:vAlign w:val="bottom"/>
            <w:hideMark/>
          </w:tcPr>
          <w:p w14:paraId="19223B6C"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Scottish Borders</w:t>
            </w:r>
          </w:p>
        </w:tc>
        <w:tc>
          <w:tcPr>
            <w:tcW w:w="1133" w:type="dxa"/>
            <w:noWrap/>
            <w:vAlign w:val="bottom"/>
            <w:hideMark/>
          </w:tcPr>
          <w:p w14:paraId="514E627E"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4.165</w:t>
            </w:r>
          </w:p>
        </w:tc>
        <w:tc>
          <w:tcPr>
            <w:tcW w:w="1133" w:type="dxa"/>
            <w:noWrap/>
            <w:vAlign w:val="bottom"/>
            <w:hideMark/>
          </w:tcPr>
          <w:p w14:paraId="472567D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0.176</w:t>
            </w:r>
          </w:p>
        </w:tc>
        <w:tc>
          <w:tcPr>
            <w:tcW w:w="1133" w:type="dxa"/>
            <w:noWrap/>
            <w:vAlign w:val="bottom"/>
            <w:hideMark/>
          </w:tcPr>
          <w:p w14:paraId="010CBA49"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4.341</w:t>
            </w:r>
          </w:p>
        </w:tc>
        <w:tc>
          <w:tcPr>
            <w:tcW w:w="1134" w:type="dxa"/>
            <w:noWrap/>
            <w:vAlign w:val="bottom"/>
            <w:hideMark/>
          </w:tcPr>
          <w:p w14:paraId="60533193"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0.321</w:t>
            </w:r>
          </w:p>
        </w:tc>
        <w:tc>
          <w:tcPr>
            <w:tcW w:w="1133" w:type="dxa"/>
            <w:noWrap/>
            <w:vAlign w:val="bottom"/>
            <w:hideMark/>
          </w:tcPr>
          <w:p w14:paraId="72A1B0F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0.069</w:t>
            </w:r>
          </w:p>
        </w:tc>
        <w:tc>
          <w:tcPr>
            <w:tcW w:w="1133" w:type="dxa"/>
            <w:noWrap/>
            <w:vAlign w:val="bottom"/>
            <w:hideMark/>
          </w:tcPr>
          <w:p w14:paraId="400DD901"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0.081</w:t>
            </w:r>
          </w:p>
        </w:tc>
        <w:tc>
          <w:tcPr>
            <w:tcW w:w="1134" w:type="dxa"/>
            <w:noWrap/>
            <w:vAlign w:val="bottom"/>
            <w:hideMark/>
          </w:tcPr>
          <w:p w14:paraId="6E4AD1E7"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0.470</w:t>
            </w:r>
          </w:p>
        </w:tc>
      </w:tr>
      <w:tr w:rsidR="001A6F0F" w:rsidRPr="006A31C4" w14:paraId="587B987D" w14:textId="77777777" w:rsidTr="001A6F0F">
        <w:trPr>
          <w:trHeight w:val="255"/>
        </w:trPr>
        <w:tc>
          <w:tcPr>
            <w:tcW w:w="2268" w:type="dxa"/>
            <w:noWrap/>
            <w:vAlign w:val="bottom"/>
            <w:hideMark/>
          </w:tcPr>
          <w:p w14:paraId="4FAF23A9"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Shetland Islands</w:t>
            </w:r>
          </w:p>
        </w:tc>
        <w:tc>
          <w:tcPr>
            <w:tcW w:w="1133" w:type="dxa"/>
            <w:noWrap/>
            <w:vAlign w:val="bottom"/>
            <w:hideMark/>
          </w:tcPr>
          <w:p w14:paraId="0CF7FC7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0.700</w:t>
            </w:r>
          </w:p>
        </w:tc>
        <w:tc>
          <w:tcPr>
            <w:tcW w:w="1133" w:type="dxa"/>
            <w:noWrap/>
            <w:vAlign w:val="bottom"/>
            <w:hideMark/>
          </w:tcPr>
          <w:p w14:paraId="209C19B3"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0.021</w:t>
            </w:r>
          </w:p>
        </w:tc>
        <w:tc>
          <w:tcPr>
            <w:tcW w:w="1133" w:type="dxa"/>
            <w:noWrap/>
            <w:vAlign w:val="bottom"/>
            <w:hideMark/>
          </w:tcPr>
          <w:p w14:paraId="1F92A6AB"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0.721</w:t>
            </w:r>
          </w:p>
        </w:tc>
        <w:tc>
          <w:tcPr>
            <w:tcW w:w="1134" w:type="dxa"/>
            <w:noWrap/>
            <w:vAlign w:val="bottom"/>
            <w:hideMark/>
          </w:tcPr>
          <w:p w14:paraId="5810C24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0.085</w:t>
            </w:r>
          </w:p>
        </w:tc>
        <w:tc>
          <w:tcPr>
            <w:tcW w:w="1133" w:type="dxa"/>
            <w:noWrap/>
            <w:vAlign w:val="bottom"/>
            <w:hideMark/>
          </w:tcPr>
          <w:p w14:paraId="15F983D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0.012</w:t>
            </w:r>
          </w:p>
        </w:tc>
        <w:tc>
          <w:tcPr>
            <w:tcW w:w="1133" w:type="dxa"/>
            <w:noWrap/>
            <w:vAlign w:val="bottom"/>
            <w:hideMark/>
          </w:tcPr>
          <w:p w14:paraId="2044BB5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0.021</w:t>
            </w:r>
          </w:p>
        </w:tc>
        <w:tc>
          <w:tcPr>
            <w:tcW w:w="1134" w:type="dxa"/>
            <w:noWrap/>
            <w:vAlign w:val="bottom"/>
            <w:hideMark/>
          </w:tcPr>
          <w:p w14:paraId="07D38400"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0.118</w:t>
            </w:r>
          </w:p>
        </w:tc>
      </w:tr>
      <w:tr w:rsidR="001A6F0F" w:rsidRPr="006A31C4" w14:paraId="41F5CC2A" w14:textId="77777777" w:rsidTr="001A6F0F">
        <w:trPr>
          <w:trHeight w:val="255"/>
        </w:trPr>
        <w:tc>
          <w:tcPr>
            <w:tcW w:w="2268" w:type="dxa"/>
            <w:noWrap/>
            <w:vAlign w:val="bottom"/>
            <w:hideMark/>
          </w:tcPr>
          <w:p w14:paraId="1895DEDC"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South Ayrshire</w:t>
            </w:r>
          </w:p>
        </w:tc>
        <w:tc>
          <w:tcPr>
            <w:tcW w:w="1133" w:type="dxa"/>
            <w:noWrap/>
            <w:vAlign w:val="bottom"/>
            <w:hideMark/>
          </w:tcPr>
          <w:p w14:paraId="48936388"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4.213</w:t>
            </w:r>
          </w:p>
        </w:tc>
        <w:tc>
          <w:tcPr>
            <w:tcW w:w="1133" w:type="dxa"/>
            <w:noWrap/>
            <w:vAlign w:val="bottom"/>
            <w:hideMark/>
          </w:tcPr>
          <w:p w14:paraId="595E286E"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0.233</w:t>
            </w:r>
          </w:p>
        </w:tc>
        <w:tc>
          <w:tcPr>
            <w:tcW w:w="1133" w:type="dxa"/>
            <w:noWrap/>
            <w:vAlign w:val="bottom"/>
            <w:hideMark/>
          </w:tcPr>
          <w:p w14:paraId="0C41DD81"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4.446</w:t>
            </w:r>
          </w:p>
        </w:tc>
        <w:tc>
          <w:tcPr>
            <w:tcW w:w="1134" w:type="dxa"/>
            <w:noWrap/>
            <w:vAlign w:val="bottom"/>
            <w:hideMark/>
          </w:tcPr>
          <w:p w14:paraId="55DB53A9"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0.267</w:t>
            </w:r>
          </w:p>
        </w:tc>
        <w:tc>
          <w:tcPr>
            <w:tcW w:w="1133" w:type="dxa"/>
            <w:noWrap/>
            <w:vAlign w:val="bottom"/>
            <w:hideMark/>
          </w:tcPr>
          <w:p w14:paraId="5A25644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0.072</w:t>
            </w:r>
          </w:p>
        </w:tc>
        <w:tc>
          <w:tcPr>
            <w:tcW w:w="1133" w:type="dxa"/>
            <w:noWrap/>
            <w:vAlign w:val="bottom"/>
            <w:hideMark/>
          </w:tcPr>
          <w:p w14:paraId="678477CA"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0.067</w:t>
            </w:r>
          </w:p>
        </w:tc>
        <w:tc>
          <w:tcPr>
            <w:tcW w:w="1134" w:type="dxa"/>
            <w:noWrap/>
            <w:vAlign w:val="bottom"/>
            <w:hideMark/>
          </w:tcPr>
          <w:p w14:paraId="5FF48095"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0.407</w:t>
            </w:r>
          </w:p>
        </w:tc>
      </w:tr>
      <w:tr w:rsidR="001A6F0F" w:rsidRPr="006A31C4" w14:paraId="610D4A4E" w14:textId="77777777" w:rsidTr="001A6F0F">
        <w:trPr>
          <w:trHeight w:val="255"/>
        </w:trPr>
        <w:tc>
          <w:tcPr>
            <w:tcW w:w="2268" w:type="dxa"/>
            <w:noWrap/>
            <w:vAlign w:val="bottom"/>
            <w:hideMark/>
          </w:tcPr>
          <w:p w14:paraId="0DA640A7"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South Lanarkshire</w:t>
            </w:r>
          </w:p>
        </w:tc>
        <w:tc>
          <w:tcPr>
            <w:tcW w:w="1133" w:type="dxa"/>
            <w:noWrap/>
            <w:vAlign w:val="bottom"/>
            <w:hideMark/>
          </w:tcPr>
          <w:p w14:paraId="3E0AEE88"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10.805</w:t>
            </w:r>
          </w:p>
        </w:tc>
        <w:tc>
          <w:tcPr>
            <w:tcW w:w="1133" w:type="dxa"/>
            <w:noWrap/>
            <w:vAlign w:val="bottom"/>
            <w:hideMark/>
          </w:tcPr>
          <w:p w14:paraId="446DA329"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0.384</w:t>
            </w:r>
          </w:p>
        </w:tc>
        <w:tc>
          <w:tcPr>
            <w:tcW w:w="1133" w:type="dxa"/>
            <w:noWrap/>
            <w:vAlign w:val="bottom"/>
            <w:hideMark/>
          </w:tcPr>
          <w:p w14:paraId="3D1927D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11.189</w:t>
            </w:r>
          </w:p>
        </w:tc>
        <w:tc>
          <w:tcPr>
            <w:tcW w:w="1134" w:type="dxa"/>
            <w:noWrap/>
            <w:vAlign w:val="bottom"/>
            <w:hideMark/>
          </w:tcPr>
          <w:p w14:paraId="091B76E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0.816</w:t>
            </w:r>
          </w:p>
        </w:tc>
        <w:tc>
          <w:tcPr>
            <w:tcW w:w="1133" w:type="dxa"/>
            <w:noWrap/>
            <w:vAlign w:val="bottom"/>
            <w:hideMark/>
          </w:tcPr>
          <w:p w14:paraId="7DAD03B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0.232</w:t>
            </w:r>
          </w:p>
        </w:tc>
        <w:tc>
          <w:tcPr>
            <w:tcW w:w="1133" w:type="dxa"/>
            <w:noWrap/>
            <w:vAlign w:val="bottom"/>
            <w:hideMark/>
          </w:tcPr>
          <w:p w14:paraId="717432C2"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0.205</w:t>
            </w:r>
          </w:p>
        </w:tc>
        <w:tc>
          <w:tcPr>
            <w:tcW w:w="1134" w:type="dxa"/>
            <w:noWrap/>
            <w:vAlign w:val="bottom"/>
            <w:hideMark/>
          </w:tcPr>
          <w:p w14:paraId="11CC2DFF"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1.253</w:t>
            </w:r>
          </w:p>
        </w:tc>
      </w:tr>
      <w:tr w:rsidR="001A6F0F" w:rsidRPr="006A31C4" w14:paraId="0978EE81" w14:textId="77777777" w:rsidTr="001A6F0F">
        <w:trPr>
          <w:trHeight w:val="255"/>
        </w:trPr>
        <w:tc>
          <w:tcPr>
            <w:tcW w:w="2268" w:type="dxa"/>
            <w:noWrap/>
            <w:vAlign w:val="bottom"/>
            <w:hideMark/>
          </w:tcPr>
          <w:p w14:paraId="55E874CA"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Stirling</w:t>
            </w:r>
          </w:p>
        </w:tc>
        <w:tc>
          <w:tcPr>
            <w:tcW w:w="1133" w:type="dxa"/>
            <w:noWrap/>
            <w:vAlign w:val="bottom"/>
            <w:hideMark/>
          </w:tcPr>
          <w:p w14:paraId="51D55D2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2.751</w:t>
            </w:r>
          </w:p>
        </w:tc>
        <w:tc>
          <w:tcPr>
            <w:tcW w:w="1133" w:type="dxa"/>
            <w:noWrap/>
            <w:vAlign w:val="bottom"/>
            <w:hideMark/>
          </w:tcPr>
          <w:p w14:paraId="016346A3"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0.169</w:t>
            </w:r>
          </w:p>
        </w:tc>
        <w:tc>
          <w:tcPr>
            <w:tcW w:w="1133" w:type="dxa"/>
            <w:noWrap/>
            <w:vAlign w:val="bottom"/>
            <w:hideMark/>
          </w:tcPr>
          <w:p w14:paraId="589987CC"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2.921</w:t>
            </w:r>
          </w:p>
        </w:tc>
        <w:tc>
          <w:tcPr>
            <w:tcW w:w="1134" w:type="dxa"/>
            <w:noWrap/>
            <w:vAlign w:val="bottom"/>
            <w:hideMark/>
          </w:tcPr>
          <w:p w14:paraId="14FB79E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0.218</w:t>
            </w:r>
          </w:p>
        </w:tc>
        <w:tc>
          <w:tcPr>
            <w:tcW w:w="1133" w:type="dxa"/>
            <w:noWrap/>
            <w:vAlign w:val="bottom"/>
            <w:hideMark/>
          </w:tcPr>
          <w:p w14:paraId="0E7F405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0.052</w:t>
            </w:r>
          </w:p>
        </w:tc>
        <w:tc>
          <w:tcPr>
            <w:tcW w:w="1133" w:type="dxa"/>
            <w:noWrap/>
            <w:vAlign w:val="bottom"/>
            <w:hideMark/>
          </w:tcPr>
          <w:p w14:paraId="42D5469E"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0.055</w:t>
            </w:r>
          </w:p>
        </w:tc>
        <w:tc>
          <w:tcPr>
            <w:tcW w:w="1134" w:type="dxa"/>
            <w:noWrap/>
            <w:vAlign w:val="bottom"/>
            <w:hideMark/>
          </w:tcPr>
          <w:p w14:paraId="0B02E787"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0.325</w:t>
            </w:r>
          </w:p>
        </w:tc>
      </w:tr>
      <w:tr w:rsidR="001A6F0F" w:rsidRPr="006A31C4" w14:paraId="24A12ACC" w14:textId="77777777" w:rsidTr="001A6F0F">
        <w:trPr>
          <w:trHeight w:val="255"/>
        </w:trPr>
        <w:tc>
          <w:tcPr>
            <w:tcW w:w="2268" w:type="dxa"/>
            <w:noWrap/>
            <w:vAlign w:val="bottom"/>
            <w:hideMark/>
          </w:tcPr>
          <w:p w14:paraId="7F6270C6"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West Dunbartonshire</w:t>
            </w:r>
          </w:p>
        </w:tc>
        <w:tc>
          <w:tcPr>
            <w:tcW w:w="1133" w:type="dxa"/>
            <w:noWrap/>
            <w:vAlign w:val="bottom"/>
            <w:hideMark/>
          </w:tcPr>
          <w:p w14:paraId="7E8D58AF"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3.133</w:t>
            </w:r>
          </w:p>
        </w:tc>
        <w:tc>
          <w:tcPr>
            <w:tcW w:w="1133" w:type="dxa"/>
            <w:noWrap/>
            <w:vAlign w:val="bottom"/>
            <w:hideMark/>
          </w:tcPr>
          <w:p w14:paraId="0F901C0D"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0.076</w:t>
            </w:r>
          </w:p>
        </w:tc>
        <w:tc>
          <w:tcPr>
            <w:tcW w:w="1133" w:type="dxa"/>
            <w:noWrap/>
            <w:vAlign w:val="bottom"/>
            <w:hideMark/>
          </w:tcPr>
          <w:p w14:paraId="2690D68C"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3.209</w:t>
            </w:r>
          </w:p>
        </w:tc>
        <w:tc>
          <w:tcPr>
            <w:tcW w:w="1134" w:type="dxa"/>
            <w:noWrap/>
            <w:vAlign w:val="bottom"/>
            <w:hideMark/>
          </w:tcPr>
          <w:p w14:paraId="1D8378B3"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0.254</w:t>
            </w:r>
          </w:p>
        </w:tc>
        <w:tc>
          <w:tcPr>
            <w:tcW w:w="1133" w:type="dxa"/>
            <w:noWrap/>
            <w:vAlign w:val="bottom"/>
            <w:hideMark/>
          </w:tcPr>
          <w:p w14:paraId="57BA3B93"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0.079</w:t>
            </w:r>
          </w:p>
        </w:tc>
        <w:tc>
          <w:tcPr>
            <w:tcW w:w="1133" w:type="dxa"/>
            <w:noWrap/>
            <w:vAlign w:val="bottom"/>
            <w:hideMark/>
          </w:tcPr>
          <w:p w14:paraId="1E8C5A5C"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0.064</w:t>
            </w:r>
          </w:p>
        </w:tc>
        <w:tc>
          <w:tcPr>
            <w:tcW w:w="1134" w:type="dxa"/>
            <w:noWrap/>
            <w:vAlign w:val="bottom"/>
            <w:hideMark/>
          </w:tcPr>
          <w:p w14:paraId="09733ABD"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0.397</w:t>
            </w:r>
          </w:p>
        </w:tc>
      </w:tr>
      <w:tr w:rsidR="001A6F0F" w:rsidRPr="006A31C4" w14:paraId="4F0D0B0C" w14:textId="77777777" w:rsidTr="001A6F0F">
        <w:trPr>
          <w:trHeight w:val="255"/>
        </w:trPr>
        <w:tc>
          <w:tcPr>
            <w:tcW w:w="2268" w:type="dxa"/>
            <w:noWrap/>
            <w:vAlign w:val="bottom"/>
            <w:hideMark/>
          </w:tcPr>
          <w:p w14:paraId="55F3882F" w14:textId="77777777" w:rsidR="006A31C4" w:rsidRPr="006A31C4" w:rsidRDefault="006A31C4" w:rsidP="006A31C4">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West Lothian</w:t>
            </w:r>
          </w:p>
        </w:tc>
        <w:tc>
          <w:tcPr>
            <w:tcW w:w="1133" w:type="dxa"/>
            <w:noWrap/>
            <w:vAlign w:val="bottom"/>
            <w:hideMark/>
          </w:tcPr>
          <w:p w14:paraId="7ABC5620"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5.266</w:t>
            </w:r>
          </w:p>
        </w:tc>
        <w:tc>
          <w:tcPr>
            <w:tcW w:w="1133" w:type="dxa"/>
            <w:noWrap/>
            <w:vAlign w:val="bottom"/>
            <w:hideMark/>
          </w:tcPr>
          <w:p w14:paraId="26410EC6"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0.160</w:t>
            </w:r>
          </w:p>
        </w:tc>
        <w:tc>
          <w:tcPr>
            <w:tcW w:w="1133" w:type="dxa"/>
            <w:noWrap/>
            <w:vAlign w:val="bottom"/>
            <w:hideMark/>
          </w:tcPr>
          <w:p w14:paraId="28E0933B"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5.426</w:t>
            </w:r>
          </w:p>
        </w:tc>
        <w:tc>
          <w:tcPr>
            <w:tcW w:w="1134" w:type="dxa"/>
            <w:noWrap/>
            <w:vAlign w:val="bottom"/>
            <w:hideMark/>
          </w:tcPr>
          <w:p w14:paraId="4A7CF4FB"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0.507</w:t>
            </w:r>
          </w:p>
        </w:tc>
        <w:tc>
          <w:tcPr>
            <w:tcW w:w="1133" w:type="dxa"/>
            <w:noWrap/>
            <w:vAlign w:val="bottom"/>
            <w:hideMark/>
          </w:tcPr>
          <w:p w14:paraId="36CF2404"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0.146</w:t>
            </w:r>
          </w:p>
        </w:tc>
        <w:tc>
          <w:tcPr>
            <w:tcW w:w="1133" w:type="dxa"/>
            <w:noWrap/>
            <w:vAlign w:val="bottom"/>
            <w:hideMark/>
          </w:tcPr>
          <w:p w14:paraId="43A57755" w14:textId="77777777" w:rsidR="006A31C4" w:rsidRPr="006A31C4" w:rsidRDefault="006A31C4" w:rsidP="006A31C4">
            <w:pPr>
              <w:jc w:val="right"/>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0.128</w:t>
            </w:r>
          </w:p>
        </w:tc>
        <w:tc>
          <w:tcPr>
            <w:tcW w:w="1134" w:type="dxa"/>
            <w:noWrap/>
            <w:vAlign w:val="bottom"/>
            <w:hideMark/>
          </w:tcPr>
          <w:p w14:paraId="3DDFD577"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0.782</w:t>
            </w:r>
          </w:p>
        </w:tc>
      </w:tr>
      <w:tr w:rsidR="001A6F0F" w:rsidRPr="006A31C4" w14:paraId="66CC397B" w14:textId="77777777" w:rsidTr="001A6F0F">
        <w:trPr>
          <w:trHeight w:val="255"/>
        </w:trPr>
        <w:tc>
          <w:tcPr>
            <w:tcW w:w="2268" w:type="dxa"/>
            <w:noWrap/>
            <w:vAlign w:val="bottom"/>
            <w:hideMark/>
          </w:tcPr>
          <w:p w14:paraId="426DBCE0" w14:textId="77777777" w:rsidR="006A31C4" w:rsidRPr="006A31C4" w:rsidRDefault="006A31C4" w:rsidP="006A31C4">
            <w:pPr>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Total</w:t>
            </w:r>
          </w:p>
        </w:tc>
        <w:tc>
          <w:tcPr>
            <w:tcW w:w="1133" w:type="dxa"/>
            <w:noWrap/>
            <w:vAlign w:val="bottom"/>
            <w:hideMark/>
          </w:tcPr>
          <w:p w14:paraId="06F3BE56"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174.700</w:t>
            </w:r>
          </w:p>
        </w:tc>
        <w:tc>
          <w:tcPr>
            <w:tcW w:w="1133" w:type="dxa"/>
            <w:noWrap/>
            <w:vAlign w:val="bottom"/>
            <w:hideMark/>
          </w:tcPr>
          <w:p w14:paraId="4FD99E5E"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7.000</w:t>
            </w:r>
          </w:p>
        </w:tc>
        <w:tc>
          <w:tcPr>
            <w:tcW w:w="1133" w:type="dxa"/>
            <w:noWrap/>
            <w:vAlign w:val="bottom"/>
            <w:hideMark/>
          </w:tcPr>
          <w:p w14:paraId="6A9D4DAB"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181.700</w:t>
            </w:r>
          </w:p>
        </w:tc>
        <w:tc>
          <w:tcPr>
            <w:tcW w:w="1134" w:type="dxa"/>
            <w:noWrap/>
            <w:vAlign w:val="bottom"/>
            <w:hideMark/>
          </w:tcPr>
          <w:p w14:paraId="2FB98AF0"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13.900</w:t>
            </w:r>
          </w:p>
        </w:tc>
        <w:tc>
          <w:tcPr>
            <w:tcW w:w="1133" w:type="dxa"/>
            <w:noWrap/>
            <w:vAlign w:val="bottom"/>
            <w:hideMark/>
          </w:tcPr>
          <w:p w14:paraId="7C13EFA7"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3.808</w:t>
            </w:r>
          </w:p>
        </w:tc>
        <w:tc>
          <w:tcPr>
            <w:tcW w:w="1133" w:type="dxa"/>
            <w:noWrap/>
            <w:vAlign w:val="bottom"/>
            <w:hideMark/>
          </w:tcPr>
          <w:p w14:paraId="23DDCB09"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3.500</w:t>
            </w:r>
          </w:p>
        </w:tc>
        <w:tc>
          <w:tcPr>
            <w:tcW w:w="1134" w:type="dxa"/>
            <w:noWrap/>
            <w:vAlign w:val="bottom"/>
            <w:hideMark/>
          </w:tcPr>
          <w:p w14:paraId="0EC2EB5E" w14:textId="77777777" w:rsidR="006A31C4" w:rsidRPr="006A31C4" w:rsidRDefault="006A31C4" w:rsidP="006A31C4">
            <w:pPr>
              <w:jc w:val="right"/>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21.208</w:t>
            </w:r>
          </w:p>
        </w:tc>
      </w:tr>
    </w:tbl>
    <w:p w14:paraId="6F59FD35" w14:textId="5F4D1D5F" w:rsidR="00B10949" w:rsidRDefault="00AC2786" w:rsidP="00B10949">
      <w:r>
        <w:t>All calculations by SWS</w:t>
      </w:r>
    </w:p>
    <w:p w14:paraId="0F351CF8" w14:textId="77777777" w:rsidR="001A6F0F" w:rsidRDefault="001A6F0F" w:rsidP="00B10949"/>
    <w:p w14:paraId="706F550D" w14:textId="7A1EB533" w:rsidR="001A6F0F" w:rsidRDefault="001A6F0F">
      <w:r>
        <w:br w:type="page"/>
      </w:r>
    </w:p>
    <w:p w14:paraId="70790E6A" w14:textId="285EDEAF" w:rsidR="008B64E2" w:rsidRPr="00806229" w:rsidRDefault="001A6F0F" w:rsidP="001A6F0F">
      <w:pPr>
        <w:rPr>
          <w:b/>
          <w:bCs/>
          <w:sz w:val="24"/>
          <w:szCs w:val="24"/>
        </w:rPr>
      </w:pPr>
      <w:r>
        <w:rPr>
          <w:b/>
          <w:bCs/>
          <w:sz w:val="24"/>
          <w:szCs w:val="24"/>
        </w:rPr>
        <w:lastRenderedPageBreak/>
        <w:t>L</w:t>
      </w:r>
      <w:r w:rsidRPr="00806229">
        <w:rPr>
          <w:b/>
          <w:bCs/>
          <w:sz w:val="24"/>
          <w:szCs w:val="24"/>
        </w:rPr>
        <w:t xml:space="preserve">ocal authority shares of 2026-27 </w:t>
      </w:r>
      <w:r w:rsidR="00E962AC">
        <w:rPr>
          <w:b/>
          <w:bCs/>
          <w:sz w:val="24"/>
          <w:szCs w:val="24"/>
        </w:rPr>
        <w:t>Justice Social Work</w:t>
      </w:r>
      <w:r>
        <w:rPr>
          <w:b/>
          <w:bCs/>
          <w:sz w:val="24"/>
          <w:szCs w:val="24"/>
        </w:rPr>
        <w:t xml:space="preserve"> </w:t>
      </w:r>
      <w:r w:rsidRPr="00806229">
        <w:rPr>
          <w:b/>
          <w:bCs/>
          <w:sz w:val="24"/>
          <w:szCs w:val="24"/>
        </w:rPr>
        <w:t>increases</w:t>
      </w:r>
      <w:r w:rsidR="008B64E2">
        <w:rPr>
          <w:b/>
          <w:bCs/>
          <w:sz w:val="24"/>
          <w:szCs w:val="24"/>
        </w:rPr>
        <w:t>, and other services</w:t>
      </w:r>
    </w:p>
    <w:p w14:paraId="59BDC36F" w14:textId="77777777" w:rsidR="001A6F0F" w:rsidRDefault="001A6F0F" w:rsidP="001A6F0F">
      <w:pPr>
        <w:rPr>
          <w:b/>
          <w:bCs/>
          <w:sz w:val="24"/>
          <w:szCs w:val="24"/>
        </w:rPr>
      </w:pPr>
    </w:p>
    <w:p w14:paraId="5FFF6871" w14:textId="6961E25A" w:rsidR="001A6F0F" w:rsidRPr="00AC2786" w:rsidRDefault="008B64E2" w:rsidP="001A6F0F">
      <w:pPr>
        <w:rPr>
          <w:b/>
          <w:bCs/>
          <w:sz w:val="24"/>
          <w:szCs w:val="24"/>
        </w:rPr>
      </w:pPr>
      <w:r>
        <w:rPr>
          <w:b/>
          <w:bCs/>
          <w:sz w:val="24"/>
          <w:szCs w:val="24"/>
        </w:rPr>
        <w:t>A</w:t>
      </w:r>
      <w:r w:rsidR="00E962AC">
        <w:rPr>
          <w:b/>
          <w:bCs/>
          <w:sz w:val="24"/>
          <w:szCs w:val="24"/>
        </w:rPr>
        <w:t>3</w:t>
      </w:r>
      <w:r w:rsidR="001A6F0F" w:rsidRPr="008E58BD">
        <w:rPr>
          <w:b/>
          <w:bCs/>
          <w:sz w:val="24"/>
          <w:szCs w:val="24"/>
        </w:rPr>
        <w:t xml:space="preserve">: </w:t>
      </w:r>
      <w:r w:rsidR="00E962AC">
        <w:rPr>
          <w:rFonts w:eastAsia="Times New Roman" w:cs="Arial"/>
          <w:b/>
          <w:bCs/>
          <w:kern w:val="0"/>
          <w:sz w:val="24"/>
          <w:szCs w:val="24"/>
          <w:lang w:eastAsia="en-GB"/>
          <w14:ligatures w14:val="none"/>
        </w:rPr>
        <w:t>ESTIMATED</w:t>
      </w:r>
      <w:r w:rsidR="001A6F0F">
        <w:rPr>
          <w:rFonts w:eastAsia="Times New Roman" w:cs="Arial"/>
          <w:b/>
          <w:bCs/>
          <w:kern w:val="0"/>
          <w:sz w:val="24"/>
          <w:szCs w:val="24"/>
          <w:lang w:eastAsia="en-GB"/>
          <w14:ligatures w14:val="none"/>
        </w:rPr>
        <w:t xml:space="preserve"> KNOWN FUNDING INCREASES for </w:t>
      </w:r>
      <w:r>
        <w:rPr>
          <w:b/>
          <w:bCs/>
          <w:sz w:val="24"/>
          <w:szCs w:val="24"/>
        </w:rPr>
        <w:t xml:space="preserve">Justice Social Work, Whole Family Wellbeing Fund, the Total RLW uplifts for ELC, and also the </w:t>
      </w:r>
      <w:r w:rsidR="00AC2786">
        <w:rPr>
          <w:b/>
          <w:bCs/>
          <w:sz w:val="24"/>
          <w:szCs w:val="24"/>
        </w:rPr>
        <w:t>Additional SG Revenue Grant to councils “</w:t>
      </w:r>
      <w:r w:rsidR="00AC2786" w:rsidRPr="009B7E4B">
        <w:rPr>
          <w:b/>
          <w:bCs/>
          <w:sz w:val="24"/>
          <w:szCs w:val="24"/>
        </w:rPr>
        <w:t>to support local priorities</w:t>
      </w:r>
      <w:r w:rsidR="00AC2786" w:rsidRPr="00AC2786">
        <w:rPr>
          <w:b/>
          <w:bCs/>
          <w:sz w:val="24"/>
          <w:szCs w:val="24"/>
        </w:rPr>
        <w:t>”.</w:t>
      </w:r>
    </w:p>
    <w:p w14:paraId="28128D21" w14:textId="77777777" w:rsidR="009B7E4B" w:rsidRDefault="009B7E4B" w:rsidP="001A6F0F">
      <w:pPr>
        <w:rPr>
          <w:rFonts w:eastAsia="Times New Roman" w:cs="Arial"/>
          <w:b/>
          <w:bCs/>
          <w:kern w:val="0"/>
          <w:sz w:val="24"/>
          <w:szCs w:val="24"/>
          <w:lang w:eastAsia="en-GB"/>
          <w14:ligatures w14:val="none"/>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55"/>
        <w:gridCol w:w="284"/>
        <w:gridCol w:w="1417"/>
        <w:gridCol w:w="1418"/>
        <w:gridCol w:w="283"/>
        <w:gridCol w:w="2269"/>
      </w:tblGrid>
      <w:tr w:rsidR="008B64E2" w:rsidRPr="006A31C4" w14:paraId="5947640B" w14:textId="77777777" w:rsidTr="0098544C">
        <w:trPr>
          <w:trHeight w:val="315"/>
        </w:trPr>
        <w:tc>
          <w:tcPr>
            <w:tcW w:w="2268" w:type="dxa"/>
            <w:noWrap/>
            <w:vAlign w:val="center"/>
            <w:hideMark/>
          </w:tcPr>
          <w:p w14:paraId="658B88C7" w14:textId="605228AC" w:rsidR="008B64E2" w:rsidRPr="006A31C4" w:rsidRDefault="008B64E2" w:rsidP="008B64E2">
            <w:pPr>
              <w:jc w:val="center"/>
              <w:rPr>
                <w:rFonts w:eastAsia="Times New Roman" w:cs="Arial"/>
                <w:kern w:val="0"/>
                <w:sz w:val="21"/>
                <w:szCs w:val="21"/>
                <w:lang w:eastAsia="en-GB"/>
                <w14:ligatures w14:val="none"/>
              </w:rPr>
            </w:pPr>
            <w:r w:rsidRPr="001A6F0F">
              <w:rPr>
                <w:rFonts w:eastAsia="Times New Roman" w:cs="Arial"/>
                <w:b/>
                <w:bCs/>
                <w:color w:val="000000"/>
                <w:kern w:val="0"/>
                <w:sz w:val="21"/>
                <w:szCs w:val="21"/>
                <w:lang w:eastAsia="en-GB"/>
                <w14:ligatures w14:val="none"/>
              </w:rPr>
              <w:t>Green Book section</w:t>
            </w:r>
          </w:p>
        </w:tc>
        <w:tc>
          <w:tcPr>
            <w:tcW w:w="1555" w:type="dxa"/>
            <w:vAlign w:val="center"/>
          </w:tcPr>
          <w:p w14:paraId="3CF513A1" w14:textId="0EFA633E" w:rsidR="008B64E2" w:rsidRDefault="008B64E2" w:rsidP="008B64E2">
            <w:pPr>
              <w:jc w:val="right"/>
              <w:rPr>
                <w:rFonts w:eastAsia="Times New Roman" w:cs="Arial"/>
                <w:b/>
                <w:bCs/>
                <w:kern w:val="0"/>
                <w:sz w:val="21"/>
                <w:szCs w:val="21"/>
                <w:lang w:eastAsia="en-GB"/>
                <w14:ligatures w14:val="none"/>
              </w:rPr>
            </w:pPr>
            <w:r>
              <w:rPr>
                <w:rFonts w:eastAsia="Times New Roman" w:cs="Arial"/>
                <w:b/>
                <w:bCs/>
                <w:kern w:val="0"/>
                <w:sz w:val="21"/>
                <w:szCs w:val="21"/>
                <w:lang w:eastAsia="en-GB"/>
                <w14:ligatures w14:val="none"/>
              </w:rPr>
              <w:t>Social Work</w:t>
            </w:r>
          </w:p>
        </w:tc>
        <w:tc>
          <w:tcPr>
            <w:tcW w:w="284" w:type="dxa"/>
            <w:shd w:val="clear" w:color="auto" w:fill="D9D9D9" w:themeFill="background1" w:themeFillShade="D9"/>
            <w:vAlign w:val="center"/>
          </w:tcPr>
          <w:p w14:paraId="01909084" w14:textId="2D44A184" w:rsidR="008B64E2" w:rsidRDefault="008B64E2" w:rsidP="008B64E2">
            <w:pPr>
              <w:jc w:val="right"/>
              <w:rPr>
                <w:rFonts w:eastAsia="Times New Roman" w:cs="Arial"/>
                <w:b/>
                <w:bCs/>
                <w:kern w:val="0"/>
                <w:sz w:val="21"/>
                <w:szCs w:val="21"/>
                <w:lang w:eastAsia="en-GB"/>
                <w14:ligatures w14:val="none"/>
              </w:rPr>
            </w:pPr>
          </w:p>
        </w:tc>
        <w:tc>
          <w:tcPr>
            <w:tcW w:w="1417" w:type="dxa"/>
            <w:vAlign w:val="center"/>
          </w:tcPr>
          <w:p w14:paraId="364C9801" w14:textId="0EE62AF4" w:rsidR="008B64E2" w:rsidRDefault="008B64E2" w:rsidP="008B64E2">
            <w:pPr>
              <w:jc w:val="right"/>
              <w:rPr>
                <w:rFonts w:eastAsia="Times New Roman" w:cs="Arial"/>
                <w:b/>
                <w:bCs/>
                <w:kern w:val="0"/>
                <w:sz w:val="21"/>
                <w:szCs w:val="21"/>
                <w:lang w:eastAsia="en-GB"/>
                <w14:ligatures w14:val="none"/>
              </w:rPr>
            </w:pPr>
            <w:r>
              <w:rPr>
                <w:rFonts w:eastAsia="Times New Roman" w:cs="Arial"/>
                <w:b/>
                <w:bCs/>
                <w:kern w:val="0"/>
                <w:sz w:val="21"/>
                <w:szCs w:val="21"/>
                <w:lang w:eastAsia="en-GB"/>
                <w14:ligatures w14:val="none"/>
              </w:rPr>
              <w:t>Misc.</w:t>
            </w:r>
          </w:p>
        </w:tc>
        <w:tc>
          <w:tcPr>
            <w:tcW w:w="1418" w:type="dxa"/>
            <w:vAlign w:val="center"/>
          </w:tcPr>
          <w:p w14:paraId="46CAB439" w14:textId="15D8B962" w:rsidR="008B64E2" w:rsidRPr="006A31C4" w:rsidRDefault="008B64E2" w:rsidP="008B64E2">
            <w:pPr>
              <w:jc w:val="right"/>
              <w:rPr>
                <w:rFonts w:eastAsia="Times New Roman" w:cs="Arial"/>
                <w:b/>
                <w:bCs/>
                <w:kern w:val="0"/>
                <w:sz w:val="21"/>
                <w:szCs w:val="21"/>
                <w:lang w:eastAsia="en-GB"/>
                <w14:ligatures w14:val="none"/>
              </w:rPr>
            </w:pPr>
            <w:r>
              <w:rPr>
                <w:rFonts w:eastAsia="Times New Roman" w:cs="Arial"/>
                <w:b/>
                <w:bCs/>
                <w:kern w:val="0"/>
                <w:sz w:val="21"/>
                <w:szCs w:val="21"/>
                <w:lang w:eastAsia="en-GB"/>
                <w14:ligatures w14:val="none"/>
              </w:rPr>
              <w:t>Education</w:t>
            </w:r>
          </w:p>
        </w:tc>
        <w:tc>
          <w:tcPr>
            <w:tcW w:w="283" w:type="dxa"/>
            <w:shd w:val="clear" w:color="auto" w:fill="D9D9D9" w:themeFill="background1" w:themeFillShade="D9"/>
            <w:noWrap/>
            <w:vAlign w:val="center"/>
          </w:tcPr>
          <w:p w14:paraId="16CA4626" w14:textId="680E22AA" w:rsidR="008B64E2" w:rsidRPr="006A31C4" w:rsidRDefault="008B64E2" w:rsidP="008B64E2">
            <w:pPr>
              <w:jc w:val="center"/>
              <w:rPr>
                <w:rFonts w:eastAsia="Times New Roman" w:cs="Arial"/>
                <w:b/>
                <w:bCs/>
                <w:kern w:val="0"/>
                <w:sz w:val="21"/>
                <w:szCs w:val="21"/>
                <w:lang w:eastAsia="en-GB"/>
                <w14:ligatures w14:val="none"/>
              </w:rPr>
            </w:pPr>
          </w:p>
        </w:tc>
        <w:tc>
          <w:tcPr>
            <w:tcW w:w="2269" w:type="dxa"/>
            <w:noWrap/>
            <w:vAlign w:val="center"/>
            <w:hideMark/>
          </w:tcPr>
          <w:p w14:paraId="10E1C9BC" w14:textId="77777777" w:rsidR="008B64E2" w:rsidRDefault="008B64E2" w:rsidP="008B64E2">
            <w:pPr>
              <w:jc w:val="right"/>
              <w:rPr>
                <w:rFonts w:eastAsia="Times New Roman" w:cs="Arial"/>
                <w:b/>
                <w:bCs/>
                <w:kern w:val="0"/>
                <w:sz w:val="20"/>
                <w:szCs w:val="20"/>
                <w:lang w:eastAsia="en-GB"/>
                <w14:ligatures w14:val="none"/>
              </w:rPr>
            </w:pPr>
            <w:r>
              <w:rPr>
                <w:rFonts w:eastAsia="Times New Roman" w:cs="Arial"/>
                <w:b/>
                <w:bCs/>
                <w:kern w:val="0"/>
                <w:sz w:val="20"/>
                <w:szCs w:val="20"/>
                <w:lang w:eastAsia="en-GB"/>
                <w14:ligatures w14:val="none"/>
              </w:rPr>
              <w:t>LG Finance Circular:</w:t>
            </w:r>
          </w:p>
          <w:p w14:paraId="201824C5" w14:textId="2F6D5850" w:rsidR="008B64E2" w:rsidRPr="006A31C4" w:rsidRDefault="008B64E2" w:rsidP="008B64E2">
            <w:pPr>
              <w:jc w:val="right"/>
              <w:rPr>
                <w:rFonts w:eastAsia="Times New Roman" w:cs="Arial"/>
                <w:b/>
                <w:bCs/>
                <w:kern w:val="0"/>
                <w:sz w:val="21"/>
                <w:szCs w:val="21"/>
                <w:lang w:eastAsia="en-GB"/>
                <w14:ligatures w14:val="none"/>
              </w:rPr>
            </w:pPr>
            <w:r w:rsidRPr="009B7E4B">
              <w:rPr>
                <w:rFonts w:eastAsia="Times New Roman" w:cs="Arial"/>
                <w:b/>
                <w:bCs/>
                <w:kern w:val="0"/>
                <w:sz w:val="20"/>
                <w:szCs w:val="20"/>
                <w:lang w:eastAsia="en-GB"/>
                <w14:ligatures w14:val="none"/>
              </w:rPr>
              <w:t>All LA Service</w:t>
            </w:r>
            <w:r w:rsidRPr="008B64E2">
              <w:rPr>
                <w:rFonts w:eastAsia="Times New Roman" w:cs="Arial"/>
                <w:b/>
                <w:bCs/>
                <w:kern w:val="0"/>
                <w:sz w:val="20"/>
                <w:szCs w:val="20"/>
                <w:lang w:eastAsia="en-GB"/>
                <w14:ligatures w14:val="none"/>
              </w:rPr>
              <w:t>s</w:t>
            </w:r>
          </w:p>
        </w:tc>
      </w:tr>
      <w:tr w:rsidR="008B64E2" w:rsidRPr="006A31C4" w14:paraId="26FCB126" w14:textId="77777777" w:rsidTr="0098544C">
        <w:trPr>
          <w:trHeight w:val="1770"/>
        </w:trPr>
        <w:tc>
          <w:tcPr>
            <w:tcW w:w="2268" w:type="dxa"/>
            <w:vMerge w:val="restart"/>
            <w:noWrap/>
            <w:vAlign w:val="bottom"/>
          </w:tcPr>
          <w:p w14:paraId="22D5E8F8" w14:textId="77777777" w:rsidR="008B64E2" w:rsidRPr="006A31C4" w:rsidRDefault="008B64E2" w:rsidP="008B64E2">
            <w:pPr>
              <w:rPr>
                <w:rFonts w:eastAsia="Times New Roman" w:cs="Arial"/>
                <w:kern w:val="0"/>
                <w:sz w:val="21"/>
                <w:szCs w:val="21"/>
                <w:lang w:eastAsia="en-GB"/>
                <w14:ligatures w14:val="none"/>
              </w:rPr>
            </w:pPr>
          </w:p>
        </w:tc>
        <w:tc>
          <w:tcPr>
            <w:tcW w:w="1555" w:type="dxa"/>
            <w:vAlign w:val="center"/>
          </w:tcPr>
          <w:p w14:paraId="6B7EF78D" w14:textId="36BDEA83" w:rsidR="008B64E2" w:rsidRPr="0098544C" w:rsidRDefault="008B64E2" w:rsidP="008B64E2">
            <w:pPr>
              <w:jc w:val="right"/>
              <w:rPr>
                <w:rFonts w:eastAsia="Times New Roman" w:cs="Arial"/>
                <w:kern w:val="0"/>
                <w:lang w:eastAsia="en-GB"/>
                <w14:ligatures w14:val="none"/>
              </w:rPr>
            </w:pPr>
            <w:r w:rsidRPr="0098544C">
              <w:rPr>
                <w:rFonts w:eastAsia="Times New Roman" w:cs="Arial"/>
                <w:kern w:val="0"/>
                <w:lang w:eastAsia="en-GB"/>
                <w14:ligatures w14:val="none"/>
              </w:rPr>
              <w:t>Justice Social Work increases</w:t>
            </w:r>
          </w:p>
        </w:tc>
        <w:tc>
          <w:tcPr>
            <w:tcW w:w="284" w:type="dxa"/>
            <w:shd w:val="clear" w:color="auto" w:fill="D9D9D9" w:themeFill="background1" w:themeFillShade="D9"/>
          </w:tcPr>
          <w:p w14:paraId="2F0DF4D7" w14:textId="20FED6B1" w:rsidR="008B64E2" w:rsidRPr="0098544C" w:rsidRDefault="008B64E2" w:rsidP="008B64E2">
            <w:pPr>
              <w:jc w:val="right"/>
              <w:rPr>
                <w:rFonts w:eastAsia="Times New Roman" w:cs="Arial"/>
                <w:kern w:val="0"/>
                <w:lang w:eastAsia="en-GB"/>
                <w14:ligatures w14:val="none"/>
              </w:rPr>
            </w:pPr>
          </w:p>
        </w:tc>
        <w:tc>
          <w:tcPr>
            <w:tcW w:w="1417" w:type="dxa"/>
            <w:vAlign w:val="center"/>
          </w:tcPr>
          <w:p w14:paraId="70E44EAF" w14:textId="2F0A8179" w:rsidR="008B64E2" w:rsidRPr="0098544C" w:rsidRDefault="008B64E2" w:rsidP="008B64E2">
            <w:pPr>
              <w:jc w:val="right"/>
              <w:rPr>
                <w:rFonts w:eastAsia="Times New Roman" w:cs="Arial"/>
                <w:kern w:val="0"/>
                <w:lang w:eastAsia="en-GB"/>
                <w14:ligatures w14:val="none"/>
              </w:rPr>
            </w:pPr>
            <w:r w:rsidRPr="0098544C">
              <w:rPr>
                <w:rFonts w:eastAsia="Times New Roman" w:cs="Arial"/>
                <w:kern w:val="0"/>
                <w:lang w:eastAsia="en-GB"/>
                <w14:ligatures w14:val="none"/>
              </w:rPr>
              <w:t>Whole Family Wellbeing Fund</w:t>
            </w:r>
          </w:p>
        </w:tc>
        <w:tc>
          <w:tcPr>
            <w:tcW w:w="1418" w:type="dxa"/>
            <w:vAlign w:val="center"/>
          </w:tcPr>
          <w:p w14:paraId="259CA21D" w14:textId="33702911" w:rsidR="008B64E2" w:rsidRPr="0098544C" w:rsidRDefault="008B64E2" w:rsidP="008B64E2">
            <w:pPr>
              <w:jc w:val="right"/>
              <w:rPr>
                <w:rFonts w:eastAsia="Times New Roman" w:cs="Arial"/>
                <w:b/>
                <w:bCs/>
                <w:kern w:val="0"/>
                <w:lang w:eastAsia="en-GB"/>
                <w14:ligatures w14:val="none"/>
              </w:rPr>
            </w:pPr>
            <w:r w:rsidRPr="0098544C">
              <w:rPr>
                <w:rFonts w:eastAsia="Times New Roman" w:cs="Arial"/>
                <w:kern w:val="0"/>
                <w:lang w:eastAsia="en-GB"/>
                <w14:ligatures w14:val="none"/>
              </w:rPr>
              <w:t>Total Early Learning &amp; Childcare RLW uplifts</w:t>
            </w:r>
          </w:p>
        </w:tc>
        <w:tc>
          <w:tcPr>
            <w:tcW w:w="283" w:type="dxa"/>
            <w:shd w:val="clear" w:color="auto" w:fill="D9D9D9" w:themeFill="background1" w:themeFillShade="D9"/>
            <w:vAlign w:val="center"/>
          </w:tcPr>
          <w:p w14:paraId="5C0E9877" w14:textId="5567486B" w:rsidR="008B64E2" w:rsidRPr="0098544C" w:rsidRDefault="008B64E2" w:rsidP="008B64E2">
            <w:pPr>
              <w:jc w:val="right"/>
              <w:rPr>
                <w:rFonts w:eastAsia="Times New Roman" w:cs="Arial"/>
                <w:kern w:val="0"/>
                <w:lang w:eastAsia="en-GB"/>
                <w14:ligatures w14:val="none"/>
              </w:rPr>
            </w:pPr>
          </w:p>
        </w:tc>
        <w:tc>
          <w:tcPr>
            <w:tcW w:w="2269" w:type="dxa"/>
            <w:vAlign w:val="center"/>
          </w:tcPr>
          <w:p w14:paraId="121E1447" w14:textId="05E6B2CD" w:rsidR="008B64E2" w:rsidRPr="0098544C" w:rsidRDefault="008B64E2" w:rsidP="008B64E2">
            <w:pPr>
              <w:jc w:val="right"/>
              <w:rPr>
                <w:rFonts w:eastAsia="Times New Roman" w:cs="Arial"/>
                <w:kern w:val="0"/>
                <w:lang w:eastAsia="en-GB"/>
                <w14:ligatures w14:val="none"/>
              </w:rPr>
            </w:pPr>
            <w:r w:rsidRPr="0098544C">
              <w:rPr>
                <w:rFonts w:eastAsia="Times New Roman" w:cs="Arial"/>
                <w:kern w:val="0"/>
                <w:lang w:eastAsia="en-GB"/>
                <w14:ligatures w14:val="none"/>
              </w:rPr>
              <w:t xml:space="preserve">Additional General Revenue Grant </w:t>
            </w:r>
            <w:r w:rsidR="00AC2786" w:rsidRPr="0098544C">
              <w:rPr>
                <w:rFonts w:eastAsia="Times New Roman" w:cs="Arial"/>
                <w:kern w:val="0"/>
                <w:lang w:eastAsia="en-GB"/>
                <w14:ligatures w14:val="none"/>
              </w:rPr>
              <w:t>“</w:t>
            </w:r>
            <w:r w:rsidRPr="0098544C">
              <w:rPr>
                <w:rFonts w:eastAsia="Times New Roman" w:cs="Arial"/>
                <w:kern w:val="0"/>
                <w:lang w:eastAsia="en-GB"/>
                <w14:ligatures w14:val="none"/>
              </w:rPr>
              <w:t>to support local priorities</w:t>
            </w:r>
            <w:r w:rsidR="00AC2786" w:rsidRPr="0098544C">
              <w:rPr>
                <w:rFonts w:eastAsia="Times New Roman" w:cs="Arial"/>
                <w:kern w:val="0"/>
                <w:lang w:eastAsia="en-GB"/>
                <w14:ligatures w14:val="none"/>
              </w:rPr>
              <w:t>”</w:t>
            </w:r>
          </w:p>
        </w:tc>
      </w:tr>
      <w:tr w:rsidR="008B64E2" w:rsidRPr="006A31C4" w14:paraId="1DB42F8F" w14:textId="77777777" w:rsidTr="0098544C">
        <w:trPr>
          <w:trHeight w:val="240"/>
        </w:trPr>
        <w:tc>
          <w:tcPr>
            <w:tcW w:w="2268" w:type="dxa"/>
            <w:vMerge/>
            <w:noWrap/>
            <w:vAlign w:val="bottom"/>
            <w:hideMark/>
          </w:tcPr>
          <w:p w14:paraId="4724D1FA" w14:textId="77777777" w:rsidR="008B64E2" w:rsidRPr="006A31C4" w:rsidRDefault="008B64E2" w:rsidP="008B64E2">
            <w:pPr>
              <w:jc w:val="right"/>
              <w:rPr>
                <w:rFonts w:eastAsia="Times New Roman" w:cs="Arial"/>
                <w:kern w:val="0"/>
                <w:sz w:val="21"/>
                <w:szCs w:val="21"/>
                <w:lang w:eastAsia="en-GB"/>
                <w14:ligatures w14:val="none"/>
              </w:rPr>
            </w:pPr>
          </w:p>
        </w:tc>
        <w:tc>
          <w:tcPr>
            <w:tcW w:w="1555" w:type="dxa"/>
            <w:vAlign w:val="center"/>
          </w:tcPr>
          <w:p w14:paraId="6F18C585" w14:textId="2EDA64C7"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£M</w:t>
            </w:r>
          </w:p>
        </w:tc>
        <w:tc>
          <w:tcPr>
            <w:tcW w:w="284" w:type="dxa"/>
            <w:shd w:val="clear" w:color="auto" w:fill="D9D9D9" w:themeFill="background1" w:themeFillShade="D9"/>
          </w:tcPr>
          <w:p w14:paraId="73700634" w14:textId="00EBBF5B" w:rsidR="008B64E2" w:rsidRPr="0098544C" w:rsidRDefault="008B64E2" w:rsidP="008B64E2">
            <w:pPr>
              <w:jc w:val="right"/>
              <w:rPr>
                <w:rFonts w:eastAsia="Times New Roman" w:cs="Arial"/>
                <w:kern w:val="0"/>
                <w:sz w:val="21"/>
                <w:szCs w:val="21"/>
                <w:lang w:eastAsia="en-GB"/>
                <w14:ligatures w14:val="none"/>
              </w:rPr>
            </w:pPr>
          </w:p>
        </w:tc>
        <w:tc>
          <w:tcPr>
            <w:tcW w:w="1417" w:type="dxa"/>
            <w:vAlign w:val="center"/>
          </w:tcPr>
          <w:p w14:paraId="2BEBABBC" w14:textId="4115C697"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£M</w:t>
            </w:r>
          </w:p>
        </w:tc>
        <w:tc>
          <w:tcPr>
            <w:tcW w:w="1418" w:type="dxa"/>
            <w:vAlign w:val="center"/>
          </w:tcPr>
          <w:p w14:paraId="0325A10C" w14:textId="01AB83CB"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£M</w:t>
            </w:r>
          </w:p>
        </w:tc>
        <w:tc>
          <w:tcPr>
            <w:tcW w:w="283" w:type="dxa"/>
            <w:shd w:val="clear" w:color="auto" w:fill="D9D9D9" w:themeFill="background1" w:themeFillShade="D9"/>
            <w:vAlign w:val="center"/>
          </w:tcPr>
          <w:p w14:paraId="19C8B0A4" w14:textId="62D658C5" w:rsidR="008B64E2" w:rsidRPr="0098544C" w:rsidRDefault="008B64E2" w:rsidP="008B64E2">
            <w:pPr>
              <w:jc w:val="right"/>
              <w:rPr>
                <w:rFonts w:eastAsia="Times New Roman" w:cs="Arial"/>
                <w:kern w:val="0"/>
                <w:sz w:val="21"/>
                <w:szCs w:val="21"/>
                <w:lang w:eastAsia="en-GB"/>
                <w14:ligatures w14:val="none"/>
              </w:rPr>
            </w:pPr>
          </w:p>
        </w:tc>
        <w:tc>
          <w:tcPr>
            <w:tcW w:w="2269" w:type="dxa"/>
            <w:vAlign w:val="center"/>
            <w:hideMark/>
          </w:tcPr>
          <w:p w14:paraId="392A0FFD" w14:textId="21FC9165"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£M</w:t>
            </w:r>
          </w:p>
        </w:tc>
      </w:tr>
      <w:tr w:rsidR="008B64E2" w:rsidRPr="006A31C4" w14:paraId="677262C9" w14:textId="77777777" w:rsidTr="0098544C">
        <w:trPr>
          <w:trHeight w:val="255"/>
        </w:trPr>
        <w:tc>
          <w:tcPr>
            <w:tcW w:w="2268" w:type="dxa"/>
            <w:noWrap/>
            <w:vAlign w:val="bottom"/>
            <w:hideMark/>
          </w:tcPr>
          <w:p w14:paraId="249141D7"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Aberdeen City</w:t>
            </w:r>
          </w:p>
        </w:tc>
        <w:tc>
          <w:tcPr>
            <w:tcW w:w="1555" w:type="dxa"/>
            <w:vAlign w:val="bottom"/>
          </w:tcPr>
          <w:p w14:paraId="5771987C" w14:textId="0B59012F"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0.302</w:t>
            </w:r>
          </w:p>
        </w:tc>
        <w:tc>
          <w:tcPr>
            <w:tcW w:w="284" w:type="dxa"/>
            <w:shd w:val="clear" w:color="auto" w:fill="D9D9D9" w:themeFill="background1" w:themeFillShade="D9"/>
          </w:tcPr>
          <w:p w14:paraId="57B5CFD0" w14:textId="245E79C1"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1A73E2F1" w14:textId="7B705B34"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0.195</w:t>
            </w:r>
          </w:p>
        </w:tc>
        <w:tc>
          <w:tcPr>
            <w:tcW w:w="1418" w:type="dxa"/>
            <w:vAlign w:val="bottom"/>
          </w:tcPr>
          <w:p w14:paraId="7742FD70" w14:textId="0B280C7E"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0.491</w:t>
            </w:r>
          </w:p>
        </w:tc>
        <w:tc>
          <w:tcPr>
            <w:tcW w:w="283" w:type="dxa"/>
            <w:shd w:val="clear" w:color="auto" w:fill="D9D9D9" w:themeFill="background1" w:themeFillShade="D9"/>
            <w:noWrap/>
            <w:vAlign w:val="bottom"/>
          </w:tcPr>
          <w:p w14:paraId="058E8DBD" w14:textId="61B78435"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507D0695" w14:textId="7162A183"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9.070</w:t>
            </w:r>
          </w:p>
        </w:tc>
      </w:tr>
      <w:tr w:rsidR="008B64E2" w:rsidRPr="006A31C4" w14:paraId="7C5A2C08" w14:textId="77777777" w:rsidTr="0098544C">
        <w:trPr>
          <w:trHeight w:val="255"/>
        </w:trPr>
        <w:tc>
          <w:tcPr>
            <w:tcW w:w="2268" w:type="dxa"/>
            <w:noWrap/>
            <w:vAlign w:val="bottom"/>
            <w:hideMark/>
          </w:tcPr>
          <w:p w14:paraId="2A449F00"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Aberdeenshire</w:t>
            </w:r>
          </w:p>
        </w:tc>
        <w:tc>
          <w:tcPr>
            <w:tcW w:w="1555" w:type="dxa"/>
            <w:vAlign w:val="bottom"/>
          </w:tcPr>
          <w:p w14:paraId="0EAC34C0" w14:textId="708F2836"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0.207</w:t>
            </w:r>
          </w:p>
        </w:tc>
        <w:tc>
          <w:tcPr>
            <w:tcW w:w="284" w:type="dxa"/>
            <w:shd w:val="clear" w:color="auto" w:fill="D9D9D9" w:themeFill="background1" w:themeFillShade="D9"/>
          </w:tcPr>
          <w:p w14:paraId="0F0B0F52" w14:textId="3BF3AFCE"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2C303702" w14:textId="2067DD9E"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0.270</w:t>
            </w:r>
          </w:p>
        </w:tc>
        <w:tc>
          <w:tcPr>
            <w:tcW w:w="1418" w:type="dxa"/>
            <w:vAlign w:val="bottom"/>
          </w:tcPr>
          <w:p w14:paraId="3A186056" w14:textId="6AD5EE9F"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0.649</w:t>
            </w:r>
          </w:p>
        </w:tc>
        <w:tc>
          <w:tcPr>
            <w:tcW w:w="283" w:type="dxa"/>
            <w:shd w:val="clear" w:color="auto" w:fill="D9D9D9" w:themeFill="background1" w:themeFillShade="D9"/>
            <w:noWrap/>
            <w:vAlign w:val="bottom"/>
          </w:tcPr>
          <w:p w14:paraId="54AF0215" w14:textId="2DEA2085"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24CD8AFF" w14:textId="6FDB05EA"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11.231</w:t>
            </w:r>
          </w:p>
        </w:tc>
      </w:tr>
      <w:tr w:rsidR="008B64E2" w:rsidRPr="006A31C4" w14:paraId="1B7FFA38" w14:textId="77777777" w:rsidTr="0098544C">
        <w:trPr>
          <w:trHeight w:val="255"/>
        </w:trPr>
        <w:tc>
          <w:tcPr>
            <w:tcW w:w="2268" w:type="dxa"/>
            <w:noWrap/>
            <w:vAlign w:val="bottom"/>
            <w:hideMark/>
          </w:tcPr>
          <w:p w14:paraId="2A58261E"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Angus</w:t>
            </w:r>
          </w:p>
        </w:tc>
        <w:tc>
          <w:tcPr>
            <w:tcW w:w="1555" w:type="dxa"/>
            <w:vAlign w:val="bottom"/>
          </w:tcPr>
          <w:p w14:paraId="15E31E2A" w14:textId="3F068C0A"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0.122</w:t>
            </w:r>
          </w:p>
        </w:tc>
        <w:tc>
          <w:tcPr>
            <w:tcW w:w="284" w:type="dxa"/>
            <w:shd w:val="clear" w:color="auto" w:fill="D9D9D9" w:themeFill="background1" w:themeFillShade="D9"/>
          </w:tcPr>
          <w:p w14:paraId="5529DEFA" w14:textId="7F706517"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35121436" w14:textId="4BADB676"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0.119</w:t>
            </w:r>
          </w:p>
        </w:tc>
        <w:tc>
          <w:tcPr>
            <w:tcW w:w="1418" w:type="dxa"/>
            <w:vAlign w:val="bottom"/>
          </w:tcPr>
          <w:p w14:paraId="01EB1B43" w14:textId="50BB1B45"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0.269</w:t>
            </w:r>
          </w:p>
        </w:tc>
        <w:tc>
          <w:tcPr>
            <w:tcW w:w="283" w:type="dxa"/>
            <w:shd w:val="clear" w:color="auto" w:fill="D9D9D9" w:themeFill="background1" w:themeFillShade="D9"/>
            <w:noWrap/>
            <w:vAlign w:val="bottom"/>
          </w:tcPr>
          <w:p w14:paraId="26AE647B" w14:textId="62E82B2A"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5F716015" w14:textId="407ECE6E"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5.254</w:t>
            </w:r>
          </w:p>
        </w:tc>
      </w:tr>
      <w:tr w:rsidR="008B64E2" w:rsidRPr="006A31C4" w14:paraId="75E9D7FD" w14:textId="77777777" w:rsidTr="0098544C">
        <w:trPr>
          <w:trHeight w:val="255"/>
        </w:trPr>
        <w:tc>
          <w:tcPr>
            <w:tcW w:w="2268" w:type="dxa"/>
            <w:noWrap/>
            <w:vAlign w:val="bottom"/>
            <w:hideMark/>
          </w:tcPr>
          <w:p w14:paraId="17AF0219"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Argyll &amp; Bute</w:t>
            </w:r>
          </w:p>
        </w:tc>
        <w:tc>
          <w:tcPr>
            <w:tcW w:w="1555" w:type="dxa"/>
            <w:vAlign w:val="bottom"/>
          </w:tcPr>
          <w:p w14:paraId="055222E6" w14:textId="79372F2D"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0.089</w:t>
            </w:r>
          </w:p>
        </w:tc>
        <w:tc>
          <w:tcPr>
            <w:tcW w:w="284" w:type="dxa"/>
            <w:shd w:val="clear" w:color="auto" w:fill="D9D9D9" w:themeFill="background1" w:themeFillShade="D9"/>
          </w:tcPr>
          <w:p w14:paraId="5C5A8B58" w14:textId="45090002"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7D86DA65" w14:textId="623DB251"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0.083</w:t>
            </w:r>
          </w:p>
        </w:tc>
        <w:tc>
          <w:tcPr>
            <w:tcW w:w="1418" w:type="dxa"/>
            <w:vAlign w:val="bottom"/>
          </w:tcPr>
          <w:p w14:paraId="0ADBECED" w14:textId="119E35E9"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0.192</w:t>
            </w:r>
          </w:p>
        </w:tc>
        <w:tc>
          <w:tcPr>
            <w:tcW w:w="283" w:type="dxa"/>
            <w:shd w:val="clear" w:color="auto" w:fill="D9D9D9" w:themeFill="background1" w:themeFillShade="D9"/>
            <w:noWrap/>
            <w:vAlign w:val="bottom"/>
          </w:tcPr>
          <w:p w14:paraId="0D0544B3" w14:textId="69FE338D"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504804B8" w14:textId="5BC22581"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4.698</w:t>
            </w:r>
          </w:p>
        </w:tc>
      </w:tr>
      <w:tr w:rsidR="008B64E2" w:rsidRPr="006A31C4" w14:paraId="1704A4D4" w14:textId="77777777" w:rsidTr="0098544C">
        <w:trPr>
          <w:trHeight w:val="255"/>
        </w:trPr>
        <w:tc>
          <w:tcPr>
            <w:tcW w:w="2268" w:type="dxa"/>
            <w:noWrap/>
            <w:vAlign w:val="bottom"/>
            <w:hideMark/>
          </w:tcPr>
          <w:p w14:paraId="270FFA40"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City of Edinburgh</w:t>
            </w:r>
          </w:p>
        </w:tc>
        <w:tc>
          <w:tcPr>
            <w:tcW w:w="1555" w:type="dxa"/>
            <w:vAlign w:val="bottom"/>
          </w:tcPr>
          <w:p w14:paraId="29829D15" w14:textId="5519BF7E"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0.548</w:t>
            </w:r>
          </w:p>
        </w:tc>
        <w:tc>
          <w:tcPr>
            <w:tcW w:w="284" w:type="dxa"/>
            <w:shd w:val="clear" w:color="auto" w:fill="D9D9D9" w:themeFill="background1" w:themeFillShade="D9"/>
          </w:tcPr>
          <w:p w14:paraId="60E407EC" w14:textId="3B1180AF"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6740902D" w14:textId="73EECB61"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0.411</w:t>
            </w:r>
          </w:p>
        </w:tc>
        <w:tc>
          <w:tcPr>
            <w:tcW w:w="1418" w:type="dxa"/>
            <w:vAlign w:val="bottom"/>
          </w:tcPr>
          <w:p w14:paraId="19B97719" w14:textId="39756215"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1.007</w:t>
            </w:r>
          </w:p>
        </w:tc>
        <w:tc>
          <w:tcPr>
            <w:tcW w:w="283" w:type="dxa"/>
            <w:shd w:val="clear" w:color="auto" w:fill="D9D9D9" w:themeFill="background1" w:themeFillShade="D9"/>
            <w:noWrap/>
            <w:vAlign w:val="bottom"/>
          </w:tcPr>
          <w:p w14:paraId="2615CA47" w14:textId="1C369148"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259D1A3F" w14:textId="4225B402"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19.383</w:t>
            </w:r>
          </w:p>
        </w:tc>
      </w:tr>
      <w:tr w:rsidR="008B64E2" w:rsidRPr="006A31C4" w14:paraId="54C3CCA3" w14:textId="77777777" w:rsidTr="0098544C">
        <w:trPr>
          <w:trHeight w:val="255"/>
        </w:trPr>
        <w:tc>
          <w:tcPr>
            <w:tcW w:w="2268" w:type="dxa"/>
            <w:noWrap/>
            <w:vAlign w:val="bottom"/>
            <w:hideMark/>
          </w:tcPr>
          <w:p w14:paraId="28340680"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Clackmannanshire</w:t>
            </w:r>
          </w:p>
        </w:tc>
        <w:tc>
          <w:tcPr>
            <w:tcW w:w="1555" w:type="dxa"/>
            <w:vAlign w:val="bottom"/>
          </w:tcPr>
          <w:p w14:paraId="73C0E8FE" w14:textId="57D41F36"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0.068</w:t>
            </w:r>
          </w:p>
        </w:tc>
        <w:tc>
          <w:tcPr>
            <w:tcW w:w="284" w:type="dxa"/>
            <w:shd w:val="clear" w:color="auto" w:fill="D9D9D9" w:themeFill="background1" w:themeFillShade="D9"/>
          </w:tcPr>
          <w:p w14:paraId="4BF0B173" w14:textId="12D0EA80"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074759A7" w14:textId="2AFD2F0B"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0.063</w:t>
            </w:r>
          </w:p>
        </w:tc>
        <w:tc>
          <w:tcPr>
            <w:tcW w:w="1418" w:type="dxa"/>
            <w:vAlign w:val="bottom"/>
          </w:tcPr>
          <w:p w14:paraId="4A221161" w14:textId="32E7F24E"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0.144</w:t>
            </w:r>
          </w:p>
        </w:tc>
        <w:tc>
          <w:tcPr>
            <w:tcW w:w="283" w:type="dxa"/>
            <w:shd w:val="clear" w:color="auto" w:fill="D9D9D9" w:themeFill="background1" w:themeFillShade="D9"/>
            <w:noWrap/>
            <w:vAlign w:val="bottom"/>
          </w:tcPr>
          <w:p w14:paraId="7058C5EA" w14:textId="0BC98D8F"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34CDC322" w14:textId="3B778B04"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2.481</w:t>
            </w:r>
          </w:p>
        </w:tc>
      </w:tr>
      <w:tr w:rsidR="008B64E2" w:rsidRPr="006A31C4" w14:paraId="309B27A0" w14:textId="77777777" w:rsidTr="0098544C">
        <w:trPr>
          <w:trHeight w:val="255"/>
        </w:trPr>
        <w:tc>
          <w:tcPr>
            <w:tcW w:w="2268" w:type="dxa"/>
            <w:noWrap/>
            <w:vAlign w:val="bottom"/>
            <w:hideMark/>
          </w:tcPr>
          <w:p w14:paraId="768E6885"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Dumfries &amp; Galloway</w:t>
            </w:r>
          </w:p>
        </w:tc>
        <w:tc>
          <w:tcPr>
            <w:tcW w:w="1555" w:type="dxa"/>
            <w:vAlign w:val="bottom"/>
          </w:tcPr>
          <w:p w14:paraId="768AD4E9" w14:textId="7FBE3DAB"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0.207</w:t>
            </w:r>
          </w:p>
        </w:tc>
        <w:tc>
          <w:tcPr>
            <w:tcW w:w="284" w:type="dxa"/>
            <w:shd w:val="clear" w:color="auto" w:fill="D9D9D9" w:themeFill="background1" w:themeFillShade="D9"/>
          </w:tcPr>
          <w:p w14:paraId="4E2E5531" w14:textId="4AB756D4"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5EE88FE9" w14:textId="4E027490"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0.162</w:t>
            </w:r>
          </w:p>
        </w:tc>
        <w:tc>
          <w:tcPr>
            <w:tcW w:w="1418" w:type="dxa"/>
            <w:vAlign w:val="bottom"/>
          </w:tcPr>
          <w:p w14:paraId="0EDEA27E" w14:textId="574721CD"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0.355</w:t>
            </w:r>
          </w:p>
        </w:tc>
        <w:tc>
          <w:tcPr>
            <w:tcW w:w="283" w:type="dxa"/>
            <w:shd w:val="clear" w:color="auto" w:fill="D9D9D9" w:themeFill="background1" w:themeFillShade="D9"/>
            <w:noWrap/>
            <w:vAlign w:val="bottom"/>
          </w:tcPr>
          <w:p w14:paraId="3F51A2F5" w14:textId="5F07CF2A"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790E31D8" w14:textId="741CED92"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7.266</w:t>
            </w:r>
          </w:p>
        </w:tc>
      </w:tr>
      <w:tr w:rsidR="008B64E2" w:rsidRPr="006A31C4" w14:paraId="01348BCA" w14:textId="77777777" w:rsidTr="0098544C">
        <w:trPr>
          <w:trHeight w:val="255"/>
        </w:trPr>
        <w:tc>
          <w:tcPr>
            <w:tcW w:w="2268" w:type="dxa"/>
            <w:noWrap/>
            <w:vAlign w:val="bottom"/>
            <w:hideMark/>
          </w:tcPr>
          <w:p w14:paraId="4B4BFE37"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Dundee City</w:t>
            </w:r>
          </w:p>
        </w:tc>
        <w:tc>
          <w:tcPr>
            <w:tcW w:w="1555" w:type="dxa"/>
            <w:vAlign w:val="bottom"/>
          </w:tcPr>
          <w:p w14:paraId="5326CB69" w14:textId="4050CE45"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0.228</w:t>
            </w:r>
          </w:p>
        </w:tc>
        <w:tc>
          <w:tcPr>
            <w:tcW w:w="284" w:type="dxa"/>
            <w:shd w:val="clear" w:color="auto" w:fill="D9D9D9" w:themeFill="background1" w:themeFillShade="D9"/>
          </w:tcPr>
          <w:p w14:paraId="7189FEC4" w14:textId="4716DCF0"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7B1E71CF" w14:textId="4F3EA1A9"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0.178</w:t>
            </w:r>
          </w:p>
        </w:tc>
        <w:tc>
          <w:tcPr>
            <w:tcW w:w="1418" w:type="dxa"/>
            <w:vAlign w:val="bottom"/>
          </w:tcPr>
          <w:p w14:paraId="0FACE990" w14:textId="1AE5C0B4"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0.381</w:t>
            </w:r>
          </w:p>
        </w:tc>
        <w:tc>
          <w:tcPr>
            <w:tcW w:w="283" w:type="dxa"/>
            <w:shd w:val="clear" w:color="auto" w:fill="D9D9D9" w:themeFill="background1" w:themeFillShade="D9"/>
            <w:noWrap/>
            <w:vAlign w:val="bottom"/>
          </w:tcPr>
          <w:p w14:paraId="6D0C6DA8" w14:textId="5DB5B6B7"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16BD8F70" w14:textId="14D2E112"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7.313</w:t>
            </w:r>
          </w:p>
        </w:tc>
      </w:tr>
      <w:tr w:rsidR="008B64E2" w:rsidRPr="006A31C4" w14:paraId="7869816B" w14:textId="77777777" w:rsidTr="0098544C">
        <w:trPr>
          <w:trHeight w:val="255"/>
        </w:trPr>
        <w:tc>
          <w:tcPr>
            <w:tcW w:w="2268" w:type="dxa"/>
            <w:noWrap/>
            <w:vAlign w:val="bottom"/>
            <w:hideMark/>
          </w:tcPr>
          <w:p w14:paraId="57E37E87"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East Ayrshire</w:t>
            </w:r>
          </w:p>
        </w:tc>
        <w:tc>
          <w:tcPr>
            <w:tcW w:w="1555" w:type="dxa"/>
            <w:vAlign w:val="bottom"/>
          </w:tcPr>
          <w:p w14:paraId="18D58D61" w14:textId="7705FE5C"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0.159</w:t>
            </w:r>
          </w:p>
        </w:tc>
        <w:tc>
          <w:tcPr>
            <w:tcW w:w="284" w:type="dxa"/>
            <w:shd w:val="clear" w:color="auto" w:fill="D9D9D9" w:themeFill="background1" w:themeFillShade="D9"/>
          </w:tcPr>
          <w:p w14:paraId="4AC7208C" w14:textId="12566E63"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74E139F6" w14:textId="30CCB912"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0.151</w:t>
            </w:r>
          </w:p>
        </w:tc>
        <w:tc>
          <w:tcPr>
            <w:tcW w:w="1418" w:type="dxa"/>
            <w:vAlign w:val="bottom"/>
          </w:tcPr>
          <w:p w14:paraId="5969E4A4" w14:textId="5A0109C9"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0.348</w:t>
            </w:r>
          </w:p>
        </w:tc>
        <w:tc>
          <w:tcPr>
            <w:tcW w:w="283" w:type="dxa"/>
            <w:shd w:val="clear" w:color="auto" w:fill="D9D9D9" w:themeFill="background1" w:themeFillShade="D9"/>
            <w:noWrap/>
            <w:vAlign w:val="bottom"/>
          </w:tcPr>
          <w:p w14:paraId="25C2D66C" w14:textId="1DB72A32"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4927014B" w14:textId="791119B8"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5.928</w:t>
            </w:r>
          </w:p>
        </w:tc>
      </w:tr>
      <w:tr w:rsidR="008B64E2" w:rsidRPr="006A31C4" w14:paraId="13D7BF4E" w14:textId="77777777" w:rsidTr="0098544C">
        <w:trPr>
          <w:trHeight w:val="255"/>
        </w:trPr>
        <w:tc>
          <w:tcPr>
            <w:tcW w:w="2268" w:type="dxa"/>
            <w:noWrap/>
            <w:vAlign w:val="bottom"/>
            <w:hideMark/>
          </w:tcPr>
          <w:p w14:paraId="0296EAA6"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East Dunbartonshire</w:t>
            </w:r>
          </w:p>
        </w:tc>
        <w:tc>
          <w:tcPr>
            <w:tcW w:w="1555" w:type="dxa"/>
            <w:vAlign w:val="bottom"/>
          </w:tcPr>
          <w:p w14:paraId="5E03F942" w14:textId="3BFC12B2"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0.062</w:t>
            </w:r>
          </w:p>
        </w:tc>
        <w:tc>
          <w:tcPr>
            <w:tcW w:w="284" w:type="dxa"/>
            <w:shd w:val="clear" w:color="auto" w:fill="D9D9D9" w:themeFill="background1" w:themeFillShade="D9"/>
          </w:tcPr>
          <w:p w14:paraId="13E7B3F4" w14:textId="539D8BAB"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72300871" w14:textId="38E4B7DD"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0.087</w:t>
            </w:r>
          </w:p>
        </w:tc>
        <w:tc>
          <w:tcPr>
            <w:tcW w:w="1418" w:type="dxa"/>
            <w:vAlign w:val="bottom"/>
          </w:tcPr>
          <w:p w14:paraId="06D0CFB7" w14:textId="7F797951"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0.241</w:t>
            </w:r>
          </w:p>
        </w:tc>
        <w:tc>
          <w:tcPr>
            <w:tcW w:w="283" w:type="dxa"/>
            <w:shd w:val="clear" w:color="auto" w:fill="D9D9D9" w:themeFill="background1" w:themeFillShade="D9"/>
            <w:noWrap/>
            <w:vAlign w:val="bottom"/>
          </w:tcPr>
          <w:p w14:paraId="1FC072E3" w14:textId="4D1E3664"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12103BED" w14:textId="2014B22A"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5.009</w:t>
            </w:r>
          </w:p>
        </w:tc>
      </w:tr>
      <w:tr w:rsidR="008B64E2" w:rsidRPr="006A31C4" w14:paraId="734B770A" w14:textId="77777777" w:rsidTr="0098544C">
        <w:trPr>
          <w:trHeight w:val="255"/>
        </w:trPr>
        <w:tc>
          <w:tcPr>
            <w:tcW w:w="2268" w:type="dxa"/>
            <w:noWrap/>
            <w:vAlign w:val="bottom"/>
            <w:hideMark/>
          </w:tcPr>
          <w:p w14:paraId="56D2BC65"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East Lothian</w:t>
            </w:r>
          </w:p>
        </w:tc>
        <w:tc>
          <w:tcPr>
            <w:tcW w:w="1555" w:type="dxa"/>
            <w:vAlign w:val="bottom"/>
          </w:tcPr>
          <w:p w14:paraId="5C644B95" w14:textId="5066197E"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0.086</w:t>
            </w:r>
          </w:p>
        </w:tc>
        <w:tc>
          <w:tcPr>
            <w:tcW w:w="284" w:type="dxa"/>
            <w:shd w:val="clear" w:color="auto" w:fill="D9D9D9" w:themeFill="background1" w:themeFillShade="D9"/>
          </w:tcPr>
          <w:p w14:paraId="0B0D1976" w14:textId="597E4685"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797F47D8" w14:textId="396E6856"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0.110</w:t>
            </w:r>
          </w:p>
        </w:tc>
        <w:tc>
          <w:tcPr>
            <w:tcW w:w="1418" w:type="dxa"/>
            <w:vAlign w:val="bottom"/>
          </w:tcPr>
          <w:p w14:paraId="60949924" w14:textId="37C0C62C"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0.296</w:t>
            </w:r>
          </w:p>
        </w:tc>
        <w:tc>
          <w:tcPr>
            <w:tcW w:w="283" w:type="dxa"/>
            <w:shd w:val="clear" w:color="auto" w:fill="D9D9D9" w:themeFill="background1" w:themeFillShade="D9"/>
            <w:noWrap/>
            <w:vAlign w:val="bottom"/>
          </w:tcPr>
          <w:p w14:paraId="79171DF5" w14:textId="5B8CF540"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085656C5" w14:textId="5503B4B9"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4.720</w:t>
            </w:r>
          </w:p>
        </w:tc>
      </w:tr>
      <w:tr w:rsidR="008B64E2" w:rsidRPr="006A31C4" w14:paraId="377E56F8" w14:textId="77777777" w:rsidTr="0098544C">
        <w:trPr>
          <w:trHeight w:val="255"/>
        </w:trPr>
        <w:tc>
          <w:tcPr>
            <w:tcW w:w="2268" w:type="dxa"/>
            <w:noWrap/>
            <w:vAlign w:val="bottom"/>
            <w:hideMark/>
          </w:tcPr>
          <w:p w14:paraId="3122B2AB"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East Renfrewshire</w:t>
            </w:r>
          </w:p>
        </w:tc>
        <w:tc>
          <w:tcPr>
            <w:tcW w:w="1555" w:type="dxa"/>
            <w:vAlign w:val="bottom"/>
          </w:tcPr>
          <w:p w14:paraId="3F00E703" w14:textId="77ECE703"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0.049</w:t>
            </w:r>
          </w:p>
        </w:tc>
        <w:tc>
          <w:tcPr>
            <w:tcW w:w="284" w:type="dxa"/>
            <w:shd w:val="clear" w:color="auto" w:fill="D9D9D9" w:themeFill="background1" w:themeFillShade="D9"/>
          </w:tcPr>
          <w:p w14:paraId="753CB5DB" w14:textId="0EB48938"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09FE33AF" w14:textId="5BA576EB"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0.090</w:t>
            </w:r>
          </w:p>
        </w:tc>
        <w:tc>
          <w:tcPr>
            <w:tcW w:w="1418" w:type="dxa"/>
            <w:vAlign w:val="bottom"/>
          </w:tcPr>
          <w:p w14:paraId="58B6983F" w14:textId="22F41CB6"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0.233</w:t>
            </w:r>
          </w:p>
        </w:tc>
        <w:tc>
          <w:tcPr>
            <w:tcW w:w="283" w:type="dxa"/>
            <w:shd w:val="clear" w:color="auto" w:fill="D9D9D9" w:themeFill="background1" w:themeFillShade="D9"/>
            <w:noWrap/>
            <w:vAlign w:val="bottom"/>
          </w:tcPr>
          <w:p w14:paraId="40B7DE98" w14:textId="439C7537"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4AEE6AA7" w14:textId="0A38F148"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4.746</w:t>
            </w:r>
          </w:p>
        </w:tc>
      </w:tr>
      <w:tr w:rsidR="008B64E2" w:rsidRPr="006A31C4" w14:paraId="54CF8B4F" w14:textId="77777777" w:rsidTr="0098544C">
        <w:trPr>
          <w:trHeight w:val="255"/>
        </w:trPr>
        <w:tc>
          <w:tcPr>
            <w:tcW w:w="2268" w:type="dxa"/>
            <w:noWrap/>
            <w:vAlign w:val="bottom"/>
            <w:hideMark/>
          </w:tcPr>
          <w:p w14:paraId="04DB3AD2"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Falkirk</w:t>
            </w:r>
          </w:p>
        </w:tc>
        <w:tc>
          <w:tcPr>
            <w:tcW w:w="1555" w:type="dxa"/>
            <w:vAlign w:val="bottom"/>
          </w:tcPr>
          <w:p w14:paraId="609F38E3" w14:textId="5667620A"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0.186</w:t>
            </w:r>
          </w:p>
        </w:tc>
        <w:tc>
          <w:tcPr>
            <w:tcW w:w="284" w:type="dxa"/>
            <w:shd w:val="clear" w:color="auto" w:fill="D9D9D9" w:themeFill="background1" w:themeFillShade="D9"/>
          </w:tcPr>
          <w:p w14:paraId="30C138EE" w14:textId="20AB2460"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503F0CA9" w14:textId="75D000BE"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0.170</w:t>
            </w:r>
          </w:p>
        </w:tc>
        <w:tc>
          <w:tcPr>
            <w:tcW w:w="1418" w:type="dxa"/>
            <w:vAlign w:val="bottom"/>
          </w:tcPr>
          <w:p w14:paraId="201A9C80" w14:textId="78117193"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0.380</w:t>
            </w:r>
          </w:p>
        </w:tc>
        <w:tc>
          <w:tcPr>
            <w:tcW w:w="283" w:type="dxa"/>
            <w:shd w:val="clear" w:color="auto" w:fill="D9D9D9" w:themeFill="background1" w:themeFillShade="D9"/>
            <w:noWrap/>
            <w:vAlign w:val="bottom"/>
          </w:tcPr>
          <w:p w14:paraId="768C5FD6" w14:textId="338E7B73"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50407B85" w14:textId="458D02FD"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7.068</w:t>
            </w:r>
          </w:p>
        </w:tc>
      </w:tr>
      <w:tr w:rsidR="008B64E2" w:rsidRPr="006A31C4" w14:paraId="3565F2E0" w14:textId="77777777" w:rsidTr="0098544C">
        <w:trPr>
          <w:trHeight w:val="255"/>
        </w:trPr>
        <w:tc>
          <w:tcPr>
            <w:tcW w:w="2268" w:type="dxa"/>
            <w:noWrap/>
            <w:vAlign w:val="bottom"/>
            <w:hideMark/>
          </w:tcPr>
          <w:p w14:paraId="3920486A"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Fife</w:t>
            </w:r>
          </w:p>
        </w:tc>
        <w:tc>
          <w:tcPr>
            <w:tcW w:w="1555" w:type="dxa"/>
            <w:vAlign w:val="bottom"/>
          </w:tcPr>
          <w:p w14:paraId="21937E54" w14:textId="5728EE87"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0.435</w:t>
            </w:r>
          </w:p>
        </w:tc>
        <w:tc>
          <w:tcPr>
            <w:tcW w:w="284" w:type="dxa"/>
            <w:shd w:val="clear" w:color="auto" w:fill="D9D9D9" w:themeFill="background1" w:themeFillShade="D9"/>
          </w:tcPr>
          <w:p w14:paraId="64C4EE7F" w14:textId="57563747"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27123109" w14:textId="47B95E07"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0.412</w:t>
            </w:r>
          </w:p>
        </w:tc>
        <w:tc>
          <w:tcPr>
            <w:tcW w:w="1418" w:type="dxa"/>
            <w:vAlign w:val="bottom"/>
          </w:tcPr>
          <w:p w14:paraId="7381D058" w14:textId="1DD59DC4"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0.899</w:t>
            </w:r>
          </w:p>
        </w:tc>
        <w:tc>
          <w:tcPr>
            <w:tcW w:w="283" w:type="dxa"/>
            <w:shd w:val="clear" w:color="auto" w:fill="D9D9D9" w:themeFill="background1" w:themeFillShade="D9"/>
            <w:noWrap/>
            <w:vAlign w:val="bottom"/>
          </w:tcPr>
          <w:p w14:paraId="7592F2DE" w14:textId="24C5115A"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2F99ABF0" w14:textId="4DB887B7"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17.006</w:t>
            </w:r>
          </w:p>
        </w:tc>
      </w:tr>
      <w:tr w:rsidR="008B64E2" w:rsidRPr="006A31C4" w14:paraId="7E960A3B" w14:textId="77777777" w:rsidTr="0098544C">
        <w:trPr>
          <w:trHeight w:val="255"/>
        </w:trPr>
        <w:tc>
          <w:tcPr>
            <w:tcW w:w="2268" w:type="dxa"/>
            <w:noWrap/>
            <w:vAlign w:val="bottom"/>
            <w:hideMark/>
          </w:tcPr>
          <w:p w14:paraId="2323494D"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Glasgow City</w:t>
            </w:r>
          </w:p>
        </w:tc>
        <w:tc>
          <w:tcPr>
            <w:tcW w:w="1555" w:type="dxa"/>
            <w:vAlign w:val="bottom"/>
          </w:tcPr>
          <w:p w14:paraId="7A734DC2" w14:textId="5853832A"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1.041</w:t>
            </w:r>
          </w:p>
        </w:tc>
        <w:tc>
          <w:tcPr>
            <w:tcW w:w="284" w:type="dxa"/>
            <w:shd w:val="clear" w:color="auto" w:fill="D9D9D9" w:themeFill="background1" w:themeFillShade="D9"/>
          </w:tcPr>
          <w:p w14:paraId="496FF63A" w14:textId="326226B2"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32B1A155" w14:textId="2D5906B0"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0.868</w:t>
            </w:r>
          </w:p>
        </w:tc>
        <w:tc>
          <w:tcPr>
            <w:tcW w:w="1418" w:type="dxa"/>
            <w:vAlign w:val="bottom"/>
          </w:tcPr>
          <w:p w14:paraId="0F2A5E9D" w14:textId="7FEFEF05"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1.615</w:t>
            </w:r>
          </w:p>
        </w:tc>
        <w:tc>
          <w:tcPr>
            <w:tcW w:w="283" w:type="dxa"/>
            <w:shd w:val="clear" w:color="auto" w:fill="D9D9D9" w:themeFill="background1" w:themeFillShade="D9"/>
            <w:noWrap/>
            <w:vAlign w:val="bottom"/>
          </w:tcPr>
          <w:p w14:paraId="53F03DEE" w14:textId="004037BF"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6EE5BD24" w14:textId="3B3B4F39"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31.046</w:t>
            </w:r>
          </w:p>
        </w:tc>
      </w:tr>
      <w:tr w:rsidR="008B64E2" w:rsidRPr="006A31C4" w14:paraId="4E18CE8C" w14:textId="77777777" w:rsidTr="0098544C">
        <w:trPr>
          <w:trHeight w:val="255"/>
        </w:trPr>
        <w:tc>
          <w:tcPr>
            <w:tcW w:w="2268" w:type="dxa"/>
            <w:noWrap/>
            <w:vAlign w:val="bottom"/>
            <w:hideMark/>
          </w:tcPr>
          <w:p w14:paraId="5D1378E3"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Highland</w:t>
            </w:r>
          </w:p>
        </w:tc>
        <w:tc>
          <w:tcPr>
            <w:tcW w:w="1555" w:type="dxa"/>
            <w:vAlign w:val="bottom"/>
          </w:tcPr>
          <w:p w14:paraId="6C42E8FF" w14:textId="16DBBF19"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0.247</w:t>
            </w:r>
          </w:p>
        </w:tc>
        <w:tc>
          <w:tcPr>
            <w:tcW w:w="284" w:type="dxa"/>
            <w:shd w:val="clear" w:color="auto" w:fill="D9D9D9" w:themeFill="background1" w:themeFillShade="D9"/>
          </w:tcPr>
          <w:p w14:paraId="0243EA75" w14:textId="347AF62D"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4D156DA8" w14:textId="4B62671A"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0.247</w:t>
            </w:r>
          </w:p>
        </w:tc>
        <w:tc>
          <w:tcPr>
            <w:tcW w:w="1418" w:type="dxa"/>
            <w:vAlign w:val="bottom"/>
          </w:tcPr>
          <w:p w14:paraId="292AB7CA" w14:textId="6386FFEF"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0.589</w:t>
            </w:r>
          </w:p>
        </w:tc>
        <w:tc>
          <w:tcPr>
            <w:tcW w:w="283" w:type="dxa"/>
            <w:shd w:val="clear" w:color="auto" w:fill="D9D9D9" w:themeFill="background1" w:themeFillShade="D9"/>
            <w:noWrap/>
            <w:vAlign w:val="bottom"/>
          </w:tcPr>
          <w:p w14:paraId="020F185D" w14:textId="726706E4"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7B56DAE7" w14:textId="6D5B0C14"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11.329</w:t>
            </w:r>
          </w:p>
        </w:tc>
      </w:tr>
      <w:tr w:rsidR="008B64E2" w:rsidRPr="006A31C4" w14:paraId="3B15616D" w14:textId="77777777" w:rsidTr="0098544C">
        <w:trPr>
          <w:trHeight w:val="255"/>
        </w:trPr>
        <w:tc>
          <w:tcPr>
            <w:tcW w:w="2268" w:type="dxa"/>
            <w:noWrap/>
            <w:vAlign w:val="bottom"/>
            <w:hideMark/>
          </w:tcPr>
          <w:p w14:paraId="28B8A9CD"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Inverclyde</w:t>
            </w:r>
          </w:p>
        </w:tc>
        <w:tc>
          <w:tcPr>
            <w:tcW w:w="1555" w:type="dxa"/>
            <w:vAlign w:val="bottom"/>
          </w:tcPr>
          <w:p w14:paraId="13907BF5" w14:textId="073ED796"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0.095</w:t>
            </w:r>
          </w:p>
        </w:tc>
        <w:tc>
          <w:tcPr>
            <w:tcW w:w="284" w:type="dxa"/>
            <w:shd w:val="clear" w:color="auto" w:fill="D9D9D9" w:themeFill="background1" w:themeFillShade="D9"/>
          </w:tcPr>
          <w:p w14:paraId="702A78B4" w14:textId="5DF177DF"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492DA8AA" w14:textId="191A3022"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0.088</w:t>
            </w:r>
          </w:p>
        </w:tc>
        <w:tc>
          <w:tcPr>
            <w:tcW w:w="1418" w:type="dxa"/>
            <w:vAlign w:val="bottom"/>
          </w:tcPr>
          <w:p w14:paraId="438B7F10" w14:textId="4A1CAD35"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0.196</w:t>
            </w:r>
          </w:p>
        </w:tc>
        <w:tc>
          <w:tcPr>
            <w:tcW w:w="283" w:type="dxa"/>
            <w:shd w:val="clear" w:color="auto" w:fill="D9D9D9" w:themeFill="background1" w:themeFillShade="D9"/>
            <w:noWrap/>
            <w:vAlign w:val="bottom"/>
          </w:tcPr>
          <w:p w14:paraId="541B9768" w14:textId="63C95AAF"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2D875003" w14:textId="58EB5B51"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4.071</w:t>
            </w:r>
          </w:p>
        </w:tc>
      </w:tr>
      <w:tr w:rsidR="008B64E2" w:rsidRPr="006A31C4" w14:paraId="4CF7F17C" w14:textId="77777777" w:rsidTr="0098544C">
        <w:trPr>
          <w:trHeight w:val="255"/>
        </w:trPr>
        <w:tc>
          <w:tcPr>
            <w:tcW w:w="2268" w:type="dxa"/>
            <w:noWrap/>
            <w:vAlign w:val="bottom"/>
            <w:hideMark/>
          </w:tcPr>
          <w:p w14:paraId="3E476060"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Midlothian</w:t>
            </w:r>
          </w:p>
        </w:tc>
        <w:tc>
          <w:tcPr>
            <w:tcW w:w="1555" w:type="dxa"/>
            <w:vAlign w:val="bottom"/>
          </w:tcPr>
          <w:p w14:paraId="20055EBA" w14:textId="10E13D22"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0.091</w:t>
            </w:r>
          </w:p>
        </w:tc>
        <w:tc>
          <w:tcPr>
            <w:tcW w:w="284" w:type="dxa"/>
            <w:shd w:val="clear" w:color="auto" w:fill="D9D9D9" w:themeFill="background1" w:themeFillShade="D9"/>
          </w:tcPr>
          <w:p w14:paraId="5AD44070" w14:textId="28F02698"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297F570D" w14:textId="1CB53A1B"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0.105</w:t>
            </w:r>
          </w:p>
        </w:tc>
        <w:tc>
          <w:tcPr>
            <w:tcW w:w="1418" w:type="dxa"/>
            <w:vAlign w:val="bottom"/>
          </w:tcPr>
          <w:p w14:paraId="78705C8E" w14:textId="77AC5680"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0.300</w:t>
            </w:r>
          </w:p>
        </w:tc>
        <w:tc>
          <w:tcPr>
            <w:tcW w:w="283" w:type="dxa"/>
            <w:shd w:val="clear" w:color="auto" w:fill="D9D9D9" w:themeFill="background1" w:themeFillShade="D9"/>
            <w:noWrap/>
            <w:vAlign w:val="bottom"/>
          </w:tcPr>
          <w:p w14:paraId="501D73BA" w14:textId="46D656CD"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7366E1F9" w14:textId="581B1C99"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4.401</w:t>
            </w:r>
          </w:p>
        </w:tc>
      </w:tr>
      <w:tr w:rsidR="008B64E2" w:rsidRPr="006A31C4" w14:paraId="3750EDE3" w14:textId="77777777" w:rsidTr="0098544C">
        <w:trPr>
          <w:trHeight w:val="255"/>
        </w:trPr>
        <w:tc>
          <w:tcPr>
            <w:tcW w:w="2268" w:type="dxa"/>
            <w:noWrap/>
            <w:vAlign w:val="bottom"/>
            <w:hideMark/>
          </w:tcPr>
          <w:p w14:paraId="5EF80EC4"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Moray</w:t>
            </w:r>
          </w:p>
        </w:tc>
        <w:tc>
          <w:tcPr>
            <w:tcW w:w="1555" w:type="dxa"/>
            <w:vAlign w:val="bottom"/>
          </w:tcPr>
          <w:p w14:paraId="3C51A67D" w14:textId="2BF2F833"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0.096</w:t>
            </w:r>
          </w:p>
        </w:tc>
        <w:tc>
          <w:tcPr>
            <w:tcW w:w="284" w:type="dxa"/>
            <w:shd w:val="clear" w:color="auto" w:fill="D9D9D9" w:themeFill="background1" w:themeFillShade="D9"/>
          </w:tcPr>
          <w:p w14:paraId="237A514E" w14:textId="090FC051"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1EF5FF8B" w14:textId="6F82E8A9"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0.096</w:t>
            </w:r>
          </w:p>
        </w:tc>
        <w:tc>
          <w:tcPr>
            <w:tcW w:w="1418" w:type="dxa"/>
            <w:vAlign w:val="bottom"/>
          </w:tcPr>
          <w:p w14:paraId="3247E0FF" w14:textId="153B4C97"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0.229</w:t>
            </w:r>
          </w:p>
        </w:tc>
        <w:tc>
          <w:tcPr>
            <w:tcW w:w="283" w:type="dxa"/>
            <w:shd w:val="clear" w:color="auto" w:fill="D9D9D9" w:themeFill="background1" w:themeFillShade="D9"/>
            <w:noWrap/>
            <w:vAlign w:val="bottom"/>
          </w:tcPr>
          <w:p w14:paraId="2B5828E2" w14:textId="281C9DB1"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6191F42B" w14:textId="2325022F"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4.195</w:t>
            </w:r>
          </w:p>
        </w:tc>
      </w:tr>
      <w:tr w:rsidR="008B64E2" w:rsidRPr="006A31C4" w14:paraId="3EC1CE37" w14:textId="77777777" w:rsidTr="0098544C">
        <w:trPr>
          <w:trHeight w:val="255"/>
        </w:trPr>
        <w:tc>
          <w:tcPr>
            <w:tcW w:w="2268" w:type="dxa"/>
            <w:noWrap/>
            <w:vAlign w:val="bottom"/>
            <w:hideMark/>
          </w:tcPr>
          <w:p w14:paraId="36C2F641"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Na h-</w:t>
            </w:r>
            <w:proofErr w:type="spellStart"/>
            <w:r w:rsidRPr="006A31C4">
              <w:rPr>
                <w:rFonts w:eastAsia="Times New Roman" w:cs="Arial"/>
                <w:kern w:val="0"/>
                <w:sz w:val="21"/>
                <w:szCs w:val="21"/>
                <w:lang w:eastAsia="en-GB"/>
                <w14:ligatures w14:val="none"/>
              </w:rPr>
              <w:t>Eileanan</w:t>
            </w:r>
            <w:proofErr w:type="spellEnd"/>
            <w:r w:rsidRPr="006A31C4">
              <w:rPr>
                <w:rFonts w:eastAsia="Times New Roman" w:cs="Arial"/>
                <w:kern w:val="0"/>
                <w:sz w:val="21"/>
                <w:szCs w:val="21"/>
                <w:lang w:eastAsia="en-GB"/>
                <w14:ligatures w14:val="none"/>
              </w:rPr>
              <w:t xml:space="preserve"> Siar</w:t>
            </w:r>
          </w:p>
        </w:tc>
        <w:tc>
          <w:tcPr>
            <w:tcW w:w="1555" w:type="dxa"/>
            <w:vAlign w:val="bottom"/>
          </w:tcPr>
          <w:p w14:paraId="20DB9C81" w14:textId="232894DF"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0.023</w:t>
            </w:r>
          </w:p>
        </w:tc>
        <w:tc>
          <w:tcPr>
            <w:tcW w:w="284" w:type="dxa"/>
            <w:shd w:val="clear" w:color="auto" w:fill="D9D9D9" w:themeFill="background1" w:themeFillShade="D9"/>
          </w:tcPr>
          <w:p w14:paraId="2D2583FB" w14:textId="236CD2B1"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219DF86B" w14:textId="0C2486D8"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0.028</w:t>
            </w:r>
          </w:p>
        </w:tc>
        <w:tc>
          <w:tcPr>
            <w:tcW w:w="1418" w:type="dxa"/>
            <w:vAlign w:val="bottom"/>
          </w:tcPr>
          <w:p w14:paraId="37881BC9" w14:textId="5E59444C"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0.059</w:t>
            </w:r>
          </w:p>
        </w:tc>
        <w:tc>
          <w:tcPr>
            <w:tcW w:w="283" w:type="dxa"/>
            <w:shd w:val="clear" w:color="auto" w:fill="D9D9D9" w:themeFill="background1" w:themeFillShade="D9"/>
            <w:noWrap/>
            <w:vAlign w:val="bottom"/>
          </w:tcPr>
          <w:p w14:paraId="4AF7B015" w14:textId="6EAC9619"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1304EB41" w14:textId="5DD18E6D"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2.134</w:t>
            </w:r>
          </w:p>
        </w:tc>
      </w:tr>
      <w:tr w:rsidR="008B64E2" w:rsidRPr="006A31C4" w14:paraId="093C8732" w14:textId="77777777" w:rsidTr="0098544C">
        <w:trPr>
          <w:trHeight w:val="255"/>
        </w:trPr>
        <w:tc>
          <w:tcPr>
            <w:tcW w:w="2268" w:type="dxa"/>
            <w:noWrap/>
            <w:vAlign w:val="bottom"/>
            <w:hideMark/>
          </w:tcPr>
          <w:p w14:paraId="2C10F743"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North Ayrshire</w:t>
            </w:r>
          </w:p>
        </w:tc>
        <w:tc>
          <w:tcPr>
            <w:tcW w:w="1555" w:type="dxa"/>
            <w:vAlign w:val="bottom"/>
          </w:tcPr>
          <w:p w14:paraId="0DB66F0B" w14:textId="66E3E868"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0.171</w:t>
            </w:r>
          </w:p>
        </w:tc>
        <w:tc>
          <w:tcPr>
            <w:tcW w:w="284" w:type="dxa"/>
            <w:shd w:val="clear" w:color="auto" w:fill="D9D9D9" w:themeFill="background1" w:themeFillShade="D9"/>
          </w:tcPr>
          <w:p w14:paraId="599CC058" w14:textId="240FD04A"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497A7F00" w14:textId="7055D239"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0.169</w:t>
            </w:r>
          </w:p>
        </w:tc>
        <w:tc>
          <w:tcPr>
            <w:tcW w:w="1418" w:type="dxa"/>
            <w:vAlign w:val="bottom"/>
          </w:tcPr>
          <w:p w14:paraId="11A31FEC" w14:textId="444FEE6C"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0.324</w:t>
            </w:r>
          </w:p>
        </w:tc>
        <w:tc>
          <w:tcPr>
            <w:tcW w:w="283" w:type="dxa"/>
            <w:shd w:val="clear" w:color="auto" w:fill="D9D9D9" w:themeFill="background1" w:themeFillShade="D9"/>
            <w:noWrap/>
            <w:vAlign w:val="bottom"/>
          </w:tcPr>
          <w:p w14:paraId="003FF5A4" w14:textId="64199880"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2D6EA855" w14:textId="4B51E522"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6.880</w:t>
            </w:r>
          </w:p>
        </w:tc>
      </w:tr>
      <w:tr w:rsidR="008B64E2" w:rsidRPr="006A31C4" w14:paraId="025BE745" w14:textId="77777777" w:rsidTr="0098544C">
        <w:trPr>
          <w:trHeight w:val="255"/>
        </w:trPr>
        <w:tc>
          <w:tcPr>
            <w:tcW w:w="2268" w:type="dxa"/>
            <w:noWrap/>
            <w:vAlign w:val="bottom"/>
            <w:hideMark/>
          </w:tcPr>
          <w:p w14:paraId="721B331F"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North Lanarkshire</w:t>
            </w:r>
          </w:p>
        </w:tc>
        <w:tc>
          <w:tcPr>
            <w:tcW w:w="1555" w:type="dxa"/>
            <w:vAlign w:val="bottom"/>
          </w:tcPr>
          <w:p w14:paraId="554594EE" w14:textId="5057BCDD"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0.441</w:t>
            </w:r>
          </w:p>
        </w:tc>
        <w:tc>
          <w:tcPr>
            <w:tcW w:w="284" w:type="dxa"/>
            <w:shd w:val="clear" w:color="auto" w:fill="D9D9D9" w:themeFill="background1" w:themeFillShade="D9"/>
          </w:tcPr>
          <w:p w14:paraId="28CC64B9" w14:textId="2ACEA967"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36B9EFE7" w14:textId="276ED908"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0.417</w:t>
            </w:r>
          </w:p>
        </w:tc>
        <w:tc>
          <w:tcPr>
            <w:tcW w:w="1418" w:type="dxa"/>
            <w:vAlign w:val="bottom"/>
          </w:tcPr>
          <w:p w14:paraId="05E4EED8" w14:textId="7B66EDB3"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0.882</w:t>
            </w:r>
          </w:p>
        </w:tc>
        <w:tc>
          <w:tcPr>
            <w:tcW w:w="283" w:type="dxa"/>
            <w:shd w:val="clear" w:color="auto" w:fill="D9D9D9" w:themeFill="background1" w:themeFillShade="D9"/>
            <w:noWrap/>
            <w:vAlign w:val="bottom"/>
          </w:tcPr>
          <w:p w14:paraId="28F25E9E" w14:textId="7C1E976C"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3F823C9B" w14:textId="1FD014A8"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16.426</w:t>
            </w:r>
          </w:p>
        </w:tc>
      </w:tr>
      <w:tr w:rsidR="008B64E2" w:rsidRPr="006A31C4" w14:paraId="0F732DA1" w14:textId="77777777" w:rsidTr="0098544C">
        <w:trPr>
          <w:trHeight w:val="255"/>
        </w:trPr>
        <w:tc>
          <w:tcPr>
            <w:tcW w:w="2268" w:type="dxa"/>
            <w:noWrap/>
            <w:vAlign w:val="bottom"/>
            <w:hideMark/>
          </w:tcPr>
          <w:p w14:paraId="1AC3F731"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Orkney Islands</w:t>
            </w:r>
          </w:p>
        </w:tc>
        <w:tc>
          <w:tcPr>
            <w:tcW w:w="1555" w:type="dxa"/>
            <w:vAlign w:val="bottom"/>
          </w:tcPr>
          <w:p w14:paraId="6F7749A6" w14:textId="50F55761"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0.018</w:t>
            </w:r>
          </w:p>
        </w:tc>
        <w:tc>
          <w:tcPr>
            <w:tcW w:w="284" w:type="dxa"/>
            <w:shd w:val="clear" w:color="auto" w:fill="D9D9D9" w:themeFill="background1" w:themeFillShade="D9"/>
          </w:tcPr>
          <w:p w14:paraId="078DD8D0" w14:textId="696F575C"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13B5DAD8" w14:textId="6288D95A"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0.023</w:t>
            </w:r>
          </w:p>
        </w:tc>
        <w:tc>
          <w:tcPr>
            <w:tcW w:w="1418" w:type="dxa"/>
            <w:vAlign w:val="bottom"/>
          </w:tcPr>
          <w:p w14:paraId="63234E38" w14:textId="16353EC5"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0.052</w:t>
            </w:r>
          </w:p>
        </w:tc>
        <w:tc>
          <w:tcPr>
            <w:tcW w:w="283" w:type="dxa"/>
            <w:shd w:val="clear" w:color="auto" w:fill="D9D9D9" w:themeFill="background1" w:themeFillShade="D9"/>
            <w:noWrap/>
            <w:vAlign w:val="bottom"/>
          </w:tcPr>
          <w:p w14:paraId="2143F079" w14:textId="4A69586F"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6085FE21" w14:textId="0CB53991"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2.046</w:t>
            </w:r>
          </w:p>
        </w:tc>
      </w:tr>
      <w:tr w:rsidR="008B64E2" w:rsidRPr="006A31C4" w14:paraId="67CAEC4E" w14:textId="77777777" w:rsidTr="0098544C">
        <w:trPr>
          <w:trHeight w:val="255"/>
        </w:trPr>
        <w:tc>
          <w:tcPr>
            <w:tcW w:w="2268" w:type="dxa"/>
            <w:noWrap/>
            <w:vAlign w:val="bottom"/>
            <w:hideMark/>
          </w:tcPr>
          <w:p w14:paraId="50AA33B5"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Perth &amp; Kinross</w:t>
            </w:r>
          </w:p>
        </w:tc>
        <w:tc>
          <w:tcPr>
            <w:tcW w:w="1555" w:type="dxa"/>
            <w:vAlign w:val="bottom"/>
          </w:tcPr>
          <w:p w14:paraId="2037C603" w14:textId="6F26100F"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0.141</w:t>
            </w:r>
          </w:p>
        </w:tc>
        <w:tc>
          <w:tcPr>
            <w:tcW w:w="284" w:type="dxa"/>
            <w:shd w:val="clear" w:color="auto" w:fill="D9D9D9" w:themeFill="background1" w:themeFillShade="D9"/>
          </w:tcPr>
          <w:p w14:paraId="4C78E619" w14:textId="4E514E5B"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0DD320F3" w14:textId="37073C8B"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0.150</w:t>
            </w:r>
          </w:p>
        </w:tc>
        <w:tc>
          <w:tcPr>
            <w:tcW w:w="1418" w:type="dxa"/>
            <w:vAlign w:val="bottom"/>
          </w:tcPr>
          <w:p w14:paraId="3686701F" w14:textId="42994AB0"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0.384</w:t>
            </w:r>
          </w:p>
        </w:tc>
        <w:tc>
          <w:tcPr>
            <w:tcW w:w="283" w:type="dxa"/>
            <w:shd w:val="clear" w:color="auto" w:fill="D9D9D9" w:themeFill="background1" w:themeFillShade="D9"/>
            <w:noWrap/>
            <w:vAlign w:val="bottom"/>
          </w:tcPr>
          <w:p w14:paraId="0A461CB7" w14:textId="74C1EC2C"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70618226" w14:textId="1F6E1C8F"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6.639</w:t>
            </w:r>
          </w:p>
        </w:tc>
      </w:tr>
      <w:tr w:rsidR="008B64E2" w:rsidRPr="006A31C4" w14:paraId="5CE773EF" w14:textId="77777777" w:rsidTr="0098544C">
        <w:trPr>
          <w:trHeight w:val="255"/>
        </w:trPr>
        <w:tc>
          <w:tcPr>
            <w:tcW w:w="2268" w:type="dxa"/>
            <w:noWrap/>
            <w:vAlign w:val="bottom"/>
            <w:hideMark/>
          </w:tcPr>
          <w:p w14:paraId="6ED859F4"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Renfrewshire</w:t>
            </w:r>
          </w:p>
        </w:tc>
        <w:tc>
          <w:tcPr>
            <w:tcW w:w="1555" w:type="dxa"/>
            <w:vAlign w:val="bottom"/>
          </w:tcPr>
          <w:p w14:paraId="18A7CC45" w14:textId="2242F7E7"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0.203</w:t>
            </w:r>
          </w:p>
        </w:tc>
        <w:tc>
          <w:tcPr>
            <w:tcW w:w="284" w:type="dxa"/>
            <w:shd w:val="clear" w:color="auto" w:fill="D9D9D9" w:themeFill="background1" w:themeFillShade="D9"/>
          </w:tcPr>
          <w:p w14:paraId="4C8AC887" w14:textId="16B42979"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618AD193" w14:textId="2BAA7B16"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0.188</w:t>
            </w:r>
          </w:p>
        </w:tc>
        <w:tc>
          <w:tcPr>
            <w:tcW w:w="1418" w:type="dxa"/>
            <w:vAlign w:val="bottom"/>
          </w:tcPr>
          <w:p w14:paraId="2733A4C3" w14:textId="77A3CA0A"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0.482</w:t>
            </w:r>
          </w:p>
        </w:tc>
        <w:tc>
          <w:tcPr>
            <w:tcW w:w="283" w:type="dxa"/>
            <w:shd w:val="clear" w:color="auto" w:fill="D9D9D9" w:themeFill="background1" w:themeFillShade="D9"/>
            <w:noWrap/>
            <w:vAlign w:val="bottom"/>
          </w:tcPr>
          <w:p w14:paraId="69AF8193" w14:textId="5AB98BC5"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7DB9D32D" w14:textId="5E4A6C38"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8.393</w:t>
            </w:r>
          </w:p>
        </w:tc>
      </w:tr>
      <w:tr w:rsidR="008B64E2" w:rsidRPr="006A31C4" w14:paraId="34FB9741" w14:textId="77777777" w:rsidTr="0098544C">
        <w:trPr>
          <w:trHeight w:val="255"/>
        </w:trPr>
        <w:tc>
          <w:tcPr>
            <w:tcW w:w="2268" w:type="dxa"/>
            <w:noWrap/>
            <w:vAlign w:val="bottom"/>
            <w:hideMark/>
          </w:tcPr>
          <w:p w14:paraId="36578B24"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Scottish Borders</w:t>
            </w:r>
          </w:p>
        </w:tc>
        <w:tc>
          <w:tcPr>
            <w:tcW w:w="1555" w:type="dxa"/>
            <w:vAlign w:val="bottom"/>
          </w:tcPr>
          <w:p w14:paraId="4F715301" w14:textId="7E2D147C"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0.104</w:t>
            </w:r>
          </w:p>
        </w:tc>
        <w:tc>
          <w:tcPr>
            <w:tcW w:w="284" w:type="dxa"/>
            <w:shd w:val="clear" w:color="auto" w:fill="D9D9D9" w:themeFill="background1" w:themeFillShade="D9"/>
          </w:tcPr>
          <w:p w14:paraId="27176CC6" w14:textId="78542737"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279AD95E" w14:textId="4640C59F"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0.120</w:t>
            </w:r>
          </w:p>
        </w:tc>
        <w:tc>
          <w:tcPr>
            <w:tcW w:w="1418" w:type="dxa"/>
            <w:vAlign w:val="bottom"/>
          </w:tcPr>
          <w:p w14:paraId="76A7ED56" w14:textId="2596DCA1"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0.264</w:t>
            </w:r>
          </w:p>
        </w:tc>
        <w:tc>
          <w:tcPr>
            <w:tcW w:w="283" w:type="dxa"/>
            <w:shd w:val="clear" w:color="auto" w:fill="D9D9D9" w:themeFill="background1" w:themeFillShade="D9"/>
            <w:noWrap/>
            <w:vAlign w:val="bottom"/>
          </w:tcPr>
          <w:p w14:paraId="745189F1" w14:textId="72BF03C5"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0B076007" w14:textId="68268B1D"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5.335</w:t>
            </w:r>
          </w:p>
        </w:tc>
      </w:tr>
      <w:tr w:rsidR="008B64E2" w:rsidRPr="006A31C4" w14:paraId="1180FB7F" w14:textId="77777777" w:rsidTr="0098544C">
        <w:trPr>
          <w:trHeight w:val="255"/>
        </w:trPr>
        <w:tc>
          <w:tcPr>
            <w:tcW w:w="2268" w:type="dxa"/>
            <w:noWrap/>
            <w:vAlign w:val="bottom"/>
            <w:hideMark/>
          </w:tcPr>
          <w:p w14:paraId="32E6609F"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Shetland Islands</w:t>
            </w:r>
          </w:p>
        </w:tc>
        <w:tc>
          <w:tcPr>
            <w:tcW w:w="1555" w:type="dxa"/>
            <w:vAlign w:val="bottom"/>
          </w:tcPr>
          <w:p w14:paraId="54314602" w14:textId="2277C266"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0.017</w:t>
            </w:r>
          </w:p>
        </w:tc>
        <w:tc>
          <w:tcPr>
            <w:tcW w:w="284" w:type="dxa"/>
            <w:shd w:val="clear" w:color="auto" w:fill="D9D9D9" w:themeFill="background1" w:themeFillShade="D9"/>
          </w:tcPr>
          <w:p w14:paraId="56C2EA89" w14:textId="498A281A"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4195D9BE" w14:textId="3DEA3B4E"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0.027</w:t>
            </w:r>
          </w:p>
        </w:tc>
        <w:tc>
          <w:tcPr>
            <w:tcW w:w="1418" w:type="dxa"/>
            <w:vAlign w:val="bottom"/>
          </w:tcPr>
          <w:p w14:paraId="3F68E85A" w14:textId="7A91AC8F"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0.062</w:t>
            </w:r>
          </w:p>
        </w:tc>
        <w:tc>
          <w:tcPr>
            <w:tcW w:w="283" w:type="dxa"/>
            <w:shd w:val="clear" w:color="auto" w:fill="D9D9D9" w:themeFill="background1" w:themeFillShade="D9"/>
            <w:noWrap/>
            <w:vAlign w:val="bottom"/>
          </w:tcPr>
          <w:p w14:paraId="257C3195" w14:textId="20A7D841"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29969939" w14:textId="29B3D185"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2.176</w:t>
            </w:r>
          </w:p>
        </w:tc>
      </w:tr>
      <w:tr w:rsidR="008B64E2" w:rsidRPr="006A31C4" w14:paraId="11669849" w14:textId="77777777" w:rsidTr="0098544C">
        <w:trPr>
          <w:trHeight w:val="255"/>
        </w:trPr>
        <w:tc>
          <w:tcPr>
            <w:tcW w:w="2268" w:type="dxa"/>
            <w:noWrap/>
            <w:vAlign w:val="bottom"/>
            <w:hideMark/>
          </w:tcPr>
          <w:p w14:paraId="1C3CFE2C"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South Ayrshire</w:t>
            </w:r>
          </w:p>
        </w:tc>
        <w:tc>
          <w:tcPr>
            <w:tcW w:w="1555" w:type="dxa"/>
            <w:vAlign w:val="bottom"/>
          </w:tcPr>
          <w:p w14:paraId="1BF0620D" w14:textId="67698584"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0.131</w:t>
            </w:r>
          </w:p>
        </w:tc>
        <w:tc>
          <w:tcPr>
            <w:tcW w:w="284" w:type="dxa"/>
            <w:shd w:val="clear" w:color="auto" w:fill="D9D9D9" w:themeFill="background1" w:themeFillShade="D9"/>
          </w:tcPr>
          <w:p w14:paraId="0AC317D1" w14:textId="0157AF65"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22449A71" w14:textId="5DF1F14E"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0.111</w:t>
            </w:r>
          </w:p>
        </w:tc>
        <w:tc>
          <w:tcPr>
            <w:tcW w:w="1418" w:type="dxa"/>
            <w:vAlign w:val="bottom"/>
          </w:tcPr>
          <w:p w14:paraId="3078E6D0" w14:textId="2CCF282A"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0.245</w:t>
            </w:r>
          </w:p>
        </w:tc>
        <w:tc>
          <w:tcPr>
            <w:tcW w:w="283" w:type="dxa"/>
            <w:shd w:val="clear" w:color="auto" w:fill="D9D9D9" w:themeFill="background1" w:themeFillShade="D9"/>
            <w:noWrap/>
            <w:vAlign w:val="bottom"/>
          </w:tcPr>
          <w:p w14:paraId="4C9656EC" w14:textId="1384D786"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7F12DAF3" w14:textId="7279AA10"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5.335</w:t>
            </w:r>
          </w:p>
        </w:tc>
      </w:tr>
      <w:tr w:rsidR="008B64E2" w:rsidRPr="006A31C4" w14:paraId="1163EC6C" w14:textId="77777777" w:rsidTr="0098544C">
        <w:trPr>
          <w:trHeight w:val="255"/>
        </w:trPr>
        <w:tc>
          <w:tcPr>
            <w:tcW w:w="2268" w:type="dxa"/>
            <w:noWrap/>
            <w:vAlign w:val="bottom"/>
            <w:hideMark/>
          </w:tcPr>
          <w:p w14:paraId="27ECF3AD"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South Lanarkshire</w:t>
            </w:r>
          </w:p>
        </w:tc>
        <w:tc>
          <w:tcPr>
            <w:tcW w:w="1555" w:type="dxa"/>
            <w:vAlign w:val="bottom"/>
          </w:tcPr>
          <w:p w14:paraId="252F9E87" w14:textId="5633F736"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0.355</w:t>
            </w:r>
          </w:p>
        </w:tc>
        <w:tc>
          <w:tcPr>
            <w:tcW w:w="284" w:type="dxa"/>
            <w:shd w:val="clear" w:color="auto" w:fill="D9D9D9" w:themeFill="background1" w:themeFillShade="D9"/>
          </w:tcPr>
          <w:p w14:paraId="261D0B4F" w14:textId="6FEE5494"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51B5EBBA" w14:textId="25C3329A"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0.346</w:t>
            </w:r>
          </w:p>
        </w:tc>
        <w:tc>
          <w:tcPr>
            <w:tcW w:w="1418" w:type="dxa"/>
            <w:vAlign w:val="bottom"/>
          </w:tcPr>
          <w:p w14:paraId="6E3680B7" w14:textId="3CE5A9F5"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0.855</w:t>
            </w:r>
          </w:p>
        </w:tc>
        <w:tc>
          <w:tcPr>
            <w:tcW w:w="283" w:type="dxa"/>
            <w:shd w:val="clear" w:color="auto" w:fill="D9D9D9" w:themeFill="background1" w:themeFillShade="D9"/>
            <w:noWrap/>
            <w:vAlign w:val="bottom"/>
          </w:tcPr>
          <w:p w14:paraId="1B215B7D" w14:textId="0D915A5A"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398DD652" w14:textId="407E2458"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14.927</w:t>
            </w:r>
          </w:p>
        </w:tc>
      </w:tr>
      <w:tr w:rsidR="008B64E2" w:rsidRPr="006A31C4" w14:paraId="69291CD2" w14:textId="77777777" w:rsidTr="0098544C">
        <w:trPr>
          <w:trHeight w:val="255"/>
        </w:trPr>
        <w:tc>
          <w:tcPr>
            <w:tcW w:w="2268" w:type="dxa"/>
            <w:noWrap/>
            <w:vAlign w:val="bottom"/>
            <w:hideMark/>
          </w:tcPr>
          <w:p w14:paraId="41719C8A"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Stirling</w:t>
            </w:r>
          </w:p>
        </w:tc>
        <w:tc>
          <w:tcPr>
            <w:tcW w:w="1555" w:type="dxa"/>
            <w:vAlign w:val="bottom"/>
          </w:tcPr>
          <w:p w14:paraId="165479E7" w14:textId="229FBFCA"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0.089</w:t>
            </w:r>
          </w:p>
        </w:tc>
        <w:tc>
          <w:tcPr>
            <w:tcW w:w="284" w:type="dxa"/>
            <w:shd w:val="clear" w:color="auto" w:fill="D9D9D9" w:themeFill="background1" w:themeFillShade="D9"/>
          </w:tcPr>
          <w:p w14:paraId="2D23B577" w14:textId="2EE15A5D"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5139343A" w14:textId="4C78FBB0"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0.090</w:t>
            </w:r>
          </w:p>
        </w:tc>
        <w:tc>
          <w:tcPr>
            <w:tcW w:w="1418" w:type="dxa"/>
            <w:vAlign w:val="bottom"/>
          </w:tcPr>
          <w:p w14:paraId="3D627052" w14:textId="4B212299"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0.217</w:t>
            </w:r>
          </w:p>
        </w:tc>
        <w:tc>
          <w:tcPr>
            <w:tcW w:w="283" w:type="dxa"/>
            <w:shd w:val="clear" w:color="auto" w:fill="D9D9D9" w:themeFill="background1" w:themeFillShade="D9"/>
            <w:noWrap/>
            <w:vAlign w:val="bottom"/>
          </w:tcPr>
          <w:p w14:paraId="4679B595" w14:textId="0F39BA17"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4875C591" w14:textId="4245199D"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4.256</w:t>
            </w:r>
          </w:p>
        </w:tc>
      </w:tr>
      <w:tr w:rsidR="008B64E2" w:rsidRPr="006A31C4" w14:paraId="598F5EFB" w14:textId="77777777" w:rsidTr="0098544C">
        <w:trPr>
          <w:trHeight w:val="255"/>
        </w:trPr>
        <w:tc>
          <w:tcPr>
            <w:tcW w:w="2268" w:type="dxa"/>
            <w:noWrap/>
            <w:vAlign w:val="bottom"/>
            <w:hideMark/>
          </w:tcPr>
          <w:p w14:paraId="694399A0"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West Dunbartonshire</w:t>
            </w:r>
          </w:p>
        </w:tc>
        <w:tc>
          <w:tcPr>
            <w:tcW w:w="1555" w:type="dxa"/>
            <w:vAlign w:val="bottom"/>
          </w:tcPr>
          <w:p w14:paraId="317B3A04" w14:textId="658D74CF"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0.129</w:t>
            </w:r>
          </w:p>
        </w:tc>
        <w:tc>
          <w:tcPr>
            <w:tcW w:w="284" w:type="dxa"/>
            <w:shd w:val="clear" w:color="auto" w:fill="D9D9D9" w:themeFill="background1" w:themeFillShade="D9"/>
          </w:tcPr>
          <w:p w14:paraId="5A9182F4" w14:textId="41D55DC6"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73FA5939" w14:textId="585C5C30"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0.113</w:t>
            </w:r>
          </w:p>
        </w:tc>
        <w:tc>
          <w:tcPr>
            <w:tcW w:w="1418" w:type="dxa"/>
            <w:vAlign w:val="bottom"/>
          </w:tcPr>
          <w:p w14:paraId="1C16C8D0" w14:textId="1A957D73"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0.253</w:t>
            </w:r>
          </w:p>
        </w:tc>
        <w:tc>
          <w:tcPr>
            <w:tcW w:w="283" w:type="dxa"/>
            <w:shd w:val="clear" w:color="auto" w:fill="D9D9D9" w:themeFill="background1" w:themeFillShade="D9"/>
            <w:noWrap/>
            <w:vAlign w:val="bottom"/>
          </w:tcPr>
          <w:p w14:paraId="25624F10" w14:textId="4430B3BD"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455E9BE4" w14:textId="6FF4671C"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4.640</w:t>
            </w:r>
          </w:p>
        </w:tc>
      </w:tr>
      <w:tr w:rsidR="008B64E2" w:rsidRPr="006A31C4" w14:paraId="224801B3" w14:textId="77777777" w:rsidTr="0098544C">
        <w:trPr>
          <w:trHeight w:val="255"/>
        </w:trPr>
        <w:tc>
          <w:tcPr>
            <w:tcW w:w="2268" w:type="dxa"/>
            <w:noWrap/>
            <w:vAlign w:val="bottom"/>
            <w:hideMark/>
          </w:tcPr>
          <w:p w14:paraId="6C3BA543" w14:textId="77777777" w:rsidR="008B64E2" w:rsidRPr="006A31C4" w:rsidRDefault="008B64E2" w:rsidP="008B64E2">
            <w:pPr>
              <w:rPr>
                <w:rFonts w:eastAsia="Times New Roman" w:cs="Arial"/>
                <w:kern w:val="0"/>
                <w:sz w:val="21"/>
                <w:szCs w:val="21"/>
                <w:lang w:eastAsia="en-GB"/>
                <w14:ligatures w14:val="none"/>
              </w:rPr>
            </w:pPr>
            <w:r w:rsidRPr="006A31C4">
              <w:rPr>
                <w:rFonts w:eastAsia="Times New Roman" w:cs="Arial"/>
                <w:kern w:val="0"/>
                <w:sz w:val="21"/>
                <w:szCs w:val="21"/>
                <w:lang w:eastAsia="en-GB"/>
                <w14:ligatures w14:val="none"/>
              </w:rPr>
              <w:t>West Lothian</w:t>
            </w:r>
          </w:p>
        </w:tc>
        <w:tc>
          <w:tcPr>
            <w:tcW w:w="1555" w:type="dxa"/>
            <w:vAlign w:val="bottom"/>
          </w:tcPr>
          <w:p w14:paraId="049742D7" w14:textId="7EC70D86"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0.189</w:t>
            </w:r>
          </w:p>
        </w:tc>
        <w:tc>
          <w:tcPr>
            <w:tcW w:w="284" w:type="dxa"/>
            <w:shd w:val="clear" w:color="auto" w:fill="D9D9D9" w:themeFill="background1" w:themeFillShade="D9"/>
          </w:tcPr>
          <w:p w14:paraId="5A60C4D6" w14:textId="5F6D710F" w:rsidR="008B64E2" w:rsidRPr="0098544C" w:rsidRDefault="008B64E2" w:rsidP="008B64E2">
            <w:pPr>
              <w:jc w:val="right"/>
              <w:rPr>
                <w:rFonts w:eastAsia="Times New Roman" w:cs="Arial"/>
                <w:kern w:val="0"/>
                <w:sz w:val="21"/>
                <w:szCs w:val="21"/>
                <w:lang w:eastAsia="en-GB"/>
                <w14:ligatures w14:val="none"/>
              </w:rPr>
            </w:pPr>
          </w:p>
        </w:tc>
        <w:tc>
          <w:tcPr>
            <w:tcW w:w="1417" w:type="dxa"/>
            <w:vAlign w:val="bottom"/>
          </w:tcPr>
          <w:p w14:paraId="6F9E358F" w14:textId="6A4981B0"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0.212</w:t>
            </w:r>
          </w:p>
        </w:tc>
        <w:tc>
          <w:tcPr>
            <w:tcW w:w="1418" w:type="dxa"/>
            <w:vAlign w:val="bottom"/>
          </w:tcPr>
          <w:p w14:paraId="148F3D37" w14:textId="663DE59A"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kern w:val="0"/>
                <w:sz w:val="21"/>
                <w:szCs w:val="21"/>
                <w:lang w:eastAsia="en-GB"/>
                <w14:ligatures w14:val="none"/>
              </w:rPr>
              <w:t>0.507</w:t>
            </w:r>
          </w:p>
        </w:tc>
        <w:tc>
          <w:tcPr>
            <w:tcW w:w="283" w:type="dxa"/>
            <w:shd w:val="clear" w:color="auto" w:fill="D9D9D9" w:themeFill="background1" w:themeFillShade="D9"/>
            <w:noWrap/>
            <w:vAlign w:val="bottom"/>
          </w:tcPr>
          <w:p w14:paraId="06097557" w14:textId="4DA2164C" w:rsidR="008B64E2" w:rsidRPr="0098544C" w:rsidRDefault="008B64E2" w:rsidP="008B64E2">
            <w:pPr>
              <w:jc w:val="right"/>
              <w:rPr>
                <w:rFonts w:eastAsia="Times New Roman" w:cs="Arial"/>
                <w:kern w:val="0"/>
                <w:sz w:val="21"/>
                <w:szCs w:val="21"/>
                <w:lang w:eastAsia="en-GB"/>
                <w14:ligatures w14:val="none"/>
              </w:rPr>
            </w:pPr>
          </w:p>
        </w:tc>
        <w:tc>
          <w:tcPr>
            <w:tcW w:w="2269" w:type="dxa"/>
            <w:noWrap/>
            <w:vAlign w:val="bottom"/>
          </w:tcPr>
          <w:p w14:paraId="609DD6D8" w14:textId="0E249D87"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kern w:val="0"/>
                <w:sz w:val="21"/>
                <w:szCs w:val="21"/>
                <w:lang w:eastAsia="en-GB"/>
                <w14:ligatures w14:val="none"/>
              </w:rPr>
              <w:t>8.498</w:t>
            </w:r>
          </w:p>
        </w:tc>
      </w:tr>
      <w:tr w:rsidR="008B64E2" w:rsidRPr="006A31C4" w14:paraId="57A6E983" w14:textId="77777777" w:rsidTr="0098544C">
        <w:trPr>
          <w:trHeight w:val="255"/>
        </w:trPr>
        <w:tc>
          <w:tcPr>
            <w:tcW w:w="2268" w:type="dxa"/>
            <w:noWrap/>
            <w:vAlign w:val="bottom"/>
            <w:hideMark/>
          </w:tcPr>
          <w:p w14:paraId="3F75F2B7" w14:textId="77777777" w:rsidR="008B64E2" w:rsidRPr="006A31C4" w:rsidRDefault="008B64E2" w:rsidP="008B64E2">
            <w:pPr>
              <w:rPr>
                <w:rFonts w:eastAsia="Times New Roman" w:cs="Arial"/>
                <w:b/>
                <w:bCs/>
                <w:kern w:val="0"/>
                <w:sz w:val="21"/>
                <w:szCs w:val="21"/>
                <w:lang w:eastAsia="en-GB"/>
                <w14:ligatures w14:val="none"/>
              </w:rPr>
            </w:pPr>
            <w:r w:rsidRPr="006A31C4">
              <w:rPr>
                <w:rFonts w:eastAsia="Times New Roman" w:cs="Arial"/>
                <w:b/>
                <w:bCs/>
                <w:kern w:val="0"/>
                <w:sz w:val="21"/>
                <w:szCs w:val="21"/>
                <w:lang w:eastAsia="en-GB"/>
                <w14:ligatures w14:val="none"/>
              </w:rPr>
              <w:t>Total</w:t>
            </w:r>
          </w:p>
        </w:tc>
        <w:tc>
          <w:tcPr>
            <w:tcW w:w="1555" w:type="dxa"/>
            <w:vAlign w:val="bottom"/>
          </w:tcPr>
          <w:p w14:paraId="29C7D752" w14:textId="355ED633"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b/>
                <w:bCs/>
                <w:kern w:val="0"/>
                <w:sz w:val="21"/>
                <w:szCs w:val="21"/>
                <w:lang w:eastAsia="en-GB"/>
                <w14:ligatures w14:val="none"/>
              </w:rPr>
              <w:t>6.329</w:t>
            </w:r>
          </w:p>
        </w:tc>
        <w:tc>
          <w:tcPr>
            <w:tcW w:w="284" w:type="dxa"/>
            <w:shd w:val="clear" w:color="auto" w:fill="D9D9D9" w:themeFill="background1" w:themeFillShade="D9"/>
          </w:tcPr>
          <w:p w14:paraId="48942256" w14:textId="39EBE548" w:rsidR="008B64E2" w:rsidRPr="0098544C" w:rsidRDefault="008B64E2" w:rsidP="008B64E2">
            <w:pPr>
              <w:jc w:val="right"/>
              <w:rPr>
                <w:rFonts w:eastAsia="Times New Roman" w:cs="Arial"/>
                <w:b/>
                <w:bCs/>
                <w:kern w:val="0"/>
                <w:sz w:val="21"/>
                <w:szCs w:val="21"/>
                <w:lang w:eastAsia="en-GB"/>
                <w14:ligatures w14:val="none"/>
              </w:rPr>
            </w:pPr>
          </w:p>
        </w:tc>
        <w:tc>
          <w:tcPr>
            <w:tcW w:w="1417" w:type="dxa"/>
            <w:vAlign w:val="bottom"/>
          </w:tcPr>
          <w:p w14:paraId="0E49DC9B" w14:textId="21013E7E"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b/>
                <w:bCs/>
                <w:kern w:val="0"/>
                <w:sz w:val="21"/>
                <w:szCs w:val="21"/>
                <w:lang w:eastAsia="en-GB"/>
                <w14:ligatures w14:val="none"/>
              </w:rPr>
              <w:t>5.900</w:t>
            </w:r>
          </w:p>
        </w:tc>
        <w:tc>
          <w:tcPr>
            <w:tcW w:w="1418" w:type="dxa"/>
            <w:vAlign w:val="bottom"/>
          </w:tcPr>
          <w:p w14:paraId="73817D60" w14:textId="2379AF61" w:rsidR="008B64E2" w:rsidRPr="0098544C" w:rsidRDefault="008B64E2" w:rsidP="008B64E2">
            <w:pPr>
              <w:jc w:val="right"/>
              <w:rPr>
                <w:rFonts w:eastAsia="Times New Roman" w:cs="Arial"/>
                <w:b/>
                <w:bCs/>
                <w:kern w:val="0"/>
                <w:sz w:val="21"/>
                <w:szCs w:val="21"/>
                <w:lang w:eastAsia="en-GB"/>
                <w14:ligatures w14:val="none"/>
              </w:rPr>
            </w:pPr>
            <w:r w:rsidRPr="0098544C">
              <w:rPr>
                <w:rFonts w:eastAsia="Times New Roman" w:cs="Arial"/>
                <w:b/>
                <w:bCs/>
                <w:kern w:val="0"/>
                <w:sz w:val="21"/>
                <w:szCs w:val="21"/>
                <w:lang w:eastAsia="en-GB"/>
                <w14:ligatures w14:val="none"/>
              </w:rPr>
              <w:t>13.400</w:t>
            </w:r>
          </w:p>
        </w:tc>
        <w:tc>
          <w:tcPr>
            <w:tcW w:w="283" w:type="dxa"/>
            <w:shd w:val="clear" w:color="auto" w:fill="D9D9D9" w:themeFill="background1" w:themeFillShade="D9"/>
            <w:noWrap/>
            <w:vAlign w:val="bottom"/>
          </w:tcPr>
          <w:p w14:paraId="6846B9EB" w14:textId="64B1211F" w:rsidR="008B64E2" w:rsidRPr="0098544C" w:rsidRDefault="008B64E2" w:rsidP="008B64E2">
            <w:pPr>
              <w:jc w:val="right"/>
              <w:rPr>
                <w:rFonts w:eastAsia="Times New Roman" w:cs="Arial"/>
                <w:b/>
                <w:bCs/>
                <w:kern w:val="0"/>
                <w:sz w:val="21"/>
                <w:szCs w:val="21"/>
                <w:lang w:eastAsia="en-GB"/>
                <w14:ligatures w14:val="none"/>
              </w:rPr>
            </w:pPr>
          </w:p>
        </w:tc>
        <w:tc>
          <w:tcPr>
            <w:tcW w:w="2269" w:type="dxa"/>
            <w:noWrap/>
            <w:vAlign w:val="bottom"/>
          </w:tcPr>
          <w:p w14:paraId="5EBEC560" w14:textId="2DBBFD5D" w:rsidR="008B64E2" w:rsidRPr="0098544C" w:rsidRDefault="008B64E2" w:rsidP="008B64E2">
            <w:pPr>
              <w:jc w:val="right"/>
              <w:rPr>
                <w:rFonts w:eastAsia="Times New Roman" w:cs="Arial"/>
                <w:kern w:val="0"/>
                <w:sz w:val="21"/>
                <w:szCs w:val="21"/>
                <w:lang w:eastAsia="en-GB"/>
                <w14:ligatures w14:val="none"/>
              </w:rPr>
            </w:pPr>
            <w:r w:rsidRPr="0098544C">
              <w:rPr>
                <w:rFonts w:eastAsia="Times New Roman" w:cs="Arial"/>
                <w:b/>
                <w:bCs/>
                <w:kern w:val="0"/>
                <w:sz w:val="21"/>
                <w:szCs w:val="21"/>
                <w:lang w:eastAsia="en-GB"/>
                <w14:ligatures w14:val="none"/>
              </w:rPr>
              <w:t>253.900</w:t>
            </w:r>
          </w:p>
        </w:tc>
      </w:tr>
    </w:tbl>
    <w:p w14:paraId="08B02814" w14:textId="77777777" w:rsidR="00AC2786" w:rsidRDefault="00AC2786" w:rsidP="00AC2786">
      <w:r>
        <w:t>NOTE: the Final Column is not social care-specific – see pages 1-3. All calculations by SWS</w:t>
      </w:r>
    </w:p>
    <w:p w14:paraId="0E82EC13" w14:textId="77777777" w:rsidR="009B7E4B" w:rsidRDefault="009B7E4B" w:rsidP="001A6F0F">
      <w:pPr>
        <w:rPr>
          <w:rFonts w:eastAsia="Times New Roman" w:cs="Arial"/>
          <w:b/>
          <w:bCs/>
          <w:kern w:val="0"/>
          <w:sz w:val="24"/>
          <w:szCs w:val="24"/>
          <w:lang w:eastAsia="en-GB"/>
          <w14:ligatures w14:val="none"/>
        </w:rPr>
      </w:pPr>
    </w:p>
    <w:sectPr w:rsidR="009B7E4B" w:rsidSect="005B7233">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B3D0" w14:textId="77777777" w:rsidR="00A546C1" w:rsidRDefault="00A546C1" w:rsidP="00A2077F">
      <w:r>
        <w:separator/>
      </w:r>
    </w:p>
  </w:endnote>
  <w:endnote w:type="continuationSeparator" w:id="0">
    <w:p w14:paraId="44B8ADB3" w14:textId="77777777" w:rsidR="00A546C1" w:rsidRDefault="00A546C1" w:rsidP="00A2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60687"/>
      <w:docPartObj>
        <w:docPartGallery w:val="Page Numbers (Bottom of Page)"/>
        <w:docPartUnique/>
      </w:docPartObj>
    </w:sdtPr>
    <w:sdtEndPr>
      <w:rPr>
        <w:noProof/>
      </w:rPr>
    </w:sdtEndPr>
    <w:sdtContent>
      <w:p w14:paraId="1F17C5A2" w14:textId="6A3CB374" w:rsidR="00580B07" w:rsidRDefault="00580B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86CA8" w14:textId="77777777" w:rsidR="00580B07" w:rsidRDefault="0058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7FC3" w14:textId="77777777" w:rsidR="00A546C1" w:rsidRDefault="00A546C1" w:rsidP="00A2077F">
      <w:r>
        <w:separator/>
      </w:r>
    </w:p>
  </w:footnote>
  <w:footnote w:type="continuationSeparator" w:id="0">
    <w:p w14:paraId="3FD80FFD" w14:textId="77777777" w:rsidR="00A546C1" w:rsidRDefault="00A546C1" w:rsidP="00A2077F">
      <w:r>
        <w:continuationSeparator/>
      </w:r>
    </w:p>
  </w:footnote>
  <w:footnote w:id="1">
    <w:p w14:paraId="329D5E39" w14:textId="38CA772A" w:rsidR="0017586F" w:rsidRDefault="0017586F">
      <w:pPr>
        <w:pStyle w:val="FootnoteText"/>
      </w:pPr>
      <w:r>
        <w:rPr>
          <w:rStyle w:val="FootnoteReference"/>
        </w:rPr>
        <w:footnoteRef/>
      </w:r>
      <w:r>
        <w:t xml:space="preserve"> The Briefing paper this updates was issued at the end of January</w:t>
      </w:r>
      <w:r w:rsidR="008613A9">
        <w:t xml:space="preserve"> and is</w:t>
      </w:r>
      <w:r>
        <w:t xml:space="preserve"> available at: </w:t>
      </w:r>
      <w:hyperlink r:id="rId1" w:history="1">
        <w:r w:rsidRPr="00120087">
          <w:rPr>
            <w:rStyle w:val="Hyperlink"/>
          </w:rPr>
          <w:t>https://socialworkscotland.org/reports/funding-for-local-government-social-work-and-social-care-services-in-2026-27/</w:t>
        </w:r>
      </w:hyperlink>
    </w:p>
  </w:footnote>
  <w:footnote w:id="2">
    <w:p w14:paraId="03C0B959" w14:textId="563393E4" w:rsidR="00F8704C" w:rsidRDefault="00F8704C" w:rsidP="00F8704C">
      <w:pPr>
        <w:pStyle w:val="FootnoteText"/>
      </w:pPr>
      <w:r>
        <w:rPr>
          <w:rStyle w:val="FootnoteReference"/>
        </w:rPr>
        <w:footnoteRef/>
      </w:r>
      <w:r>
        <w:t xml:space="preserve"> </w:t>
      </w:r>
      <w:r w:rsidR="00CB3202">
        <w:t>To the extent to which</w:t>
      </w:r>
      <w:r>
        <w:t xml:space="preserve"> these are clarified in the recently published Grant-Aided Expenditure Statistics “Green Book”: </w:t>
      </w:r>
      <w:hyperlink r:id="rId2" w:history="1">
        <w:r w:rsidRPr="009609E1">
          <w:rPr>
            <w:rStyle w:val="Hyperlink"/>
          </w:rPr>
          <w:t>https://www.gov.scot/publications/scottish-local-government-finance-green-book-2026-27/</w:t>
        </w:r>
      </w:hyperlink>
    </w:p>
  </w:footnote>
  <w:footnote w:id="3">
    <w:p w14:paraId="58ABE0A3" w14:textId="58093A20" w:rsidR="007D4B65" w:rsidRDefault="007D4B65">
      <w:pPr>
        <w:pStyle w:val="FootnoteText"/>
      </w:pPr>
      <w:r>
        <w:rPr>
          <w:rStyle w:val="FootnoteReference"/>
        </w:rPr>
        <w:footnoteRef/>
      </w:r>
      <w:r>
        <w:t xml:space="preserve"> </w:t>
      </w:r>
      <w:hyperlink r:id="rId3" w:history="1">
        <w:r w:rsidRPr="00A37D78">
          <w:rPr>
            <w:rStyle w:val="Hyperlink"/>
          </w:rPr>
          <w:t>https://www.gov.scot/publications/local-government-finance-circular-2-2026-final-settlement-for-2026-to-2027/</w:t>
        </w:r>
      </w:hyperlink>
      <w:r>
        <w:t xml:space="preserve">, </w:t>
      </w:r>
      <w:r w:rsidR="008613A9">
        <w:t>dated</w:t>
      </w:r>
      <w:r>
        <w:t xml:space="preserve"> 2</w:t>
      </w:r>
      <w:r w:rsidR="008613A9">
        <w:t>6</w:t>
      </w:r>
      <w:r>
        <w:t xml:space="preserve"> February 2026.</w:t>
      </w:r>
    </w:p>
  </w:footnote>
  <w:footnote w:id="4">
    <w:p w14:paraId="0C380658" w14:textId="65335543" w:rsidR="00D87589" w:rsidRDefault="00D87589">
      <w:pPr>
        <w:pStyle w:val="FootnoteText"/>
      </w:pPr>
      <w:r>
        <w:rPr>
          <w:rStyle w:val="FootnoteReference"/>
        </w:rPr>
        <w:footnoteRef/>
      </w:r>
      <w:r>
        <w:t xml:space="preserve"> Official Report, 26 February 2025, column 114</w:t>
      </w:r>
    </w:p>
  </w:footnote>
  <w:footnote w:id="5">
    <w:p w14:paraId="37533DA9" w14:textId="77777777" w:rsidR="00717FD9" w:rsidRDefault="00717FD9" w:rsidP="00717FD9">
      <w:pPr>
        <w:pStyle w:val="FootnoteText"/>
      </w:pPr>
      <w:r>
        <w:rPr>
          <w:rStyle w:val="FootnoteReference"/>
        </w:rPr>
        <w:footnoteRef/>
      </w:r>
      <w:r>
        <w:t xml:space="preserve"> These Living Wage rates are calculated annually by the Resolution Foundation, generally in October. This year’s uplift is higher than overall inflation because the Foundation takes account of the greater impacts on </w:t>
      </w:r>
      <w:r w:rsidRPr="00B831AC">
        <w:t>lower-earning workers and their families</w:t>
      </w:r>
      <w:r>
        <w:t xml:space="preserve"> of above-inflation increases such as for food, utilities, and council tax.  See: </w:t>
      </w:r>
      <w:hyperlink r:id="rId4" w:history="1">
        <w:r w:rsidRPr="002963C8">
          <w:rPr>
            <w:rStyle w:val="Hyperlink"/>
          </w:rPr>
          <w:t>https://www.livingwage.org.uk/calculating-real-living-wage-london-and-rest-uk-2025</w:t>
        </w:r>
      </w:hyperlink>
      <w:r>
        <w:t>.</w:t>
      </w:r>
    </w:p>
  </w:footnote>
  <w:footnote w:id="6">
    <w:p w14:paraId="6EFEF9C3" w14:textId="77777777" w:rsidR="00B5278A" w:rsidRDefault="00B5278A" w:rsidP="00B5278A">
      <w:pPr>
        <w:pStyle w:val="FootnoteText"/>
      </w:pPr>
      <w:r>
        <w:rPr>
          <w:rStyle w:val="FootnoteReference"/>
        </w:rPr>
        <w:footnoteRef/>
      </w:r>
      <w:r>
        <w:t xml:space="preserve"> </w:t>
      </w:r>
      <w:r w:rsidRPr="00EE6E0E">
        <w:t>The Community Care (Personal Care and Nursing Care) (Scotland) Amendment Regulations 2026</w:t>
      </w:r>
      <w:r>
        <w:t xml:space="preserve">, at: </w:t>
      </w:r>
      <w:hyperlink r:id="rId5" w:history="1">
        <w:r w:rsidRPr="008D0C6D">
          <w:rPr>
            <w:rStyle w:val="Hyperlink"/>
          </w:rPr>
          <w:t>https://www.legislation.gov.uk/sdsi/2026/9780111065105/contents</w:t>
        </w:r>
      </w:hyperlink>
    </w:p>
  </w:footnote>
  <w:footnote w:id="7">
    <w:p w14:paraId="11FF2EB5" w14:textId="577261EE" w:rsidR="00D653D9" w:rsidRDefault="00D653D9">
      <w:pPr>
        <w:pStyle w:val="FootnoteText"/>
      </w:pPr>
      <w:r>
        <w:rPr>
          <w:rStyle w:val="FootnoteReference"/>
        </w:rPr>
        <w:footnoteRef/>
      </w:r>
      <w:r>
        <w:t xml:space="preserve"> </w:t>
      </w:r>
      <w:r w:rsidRPr="00D653D9">
        <w:t>These regulations are made under section 93</w:t>
      </w:r>
      <w:proofErr w:type="gramStart"/>
      <w:r w:rsidRPr="00D653D9">
        <w:t>A(</w:t>
      </w:r>
      <w:proofErr w:type="gramEnd"/>
      <w:r w:rsidRPr="00D653D9">
        <w:t>1) of the</w:t>
      </w:r>
      <w:r>
        <w:t xml:space="preserve"> </w:t>
      </w:r>
      <w:r w:rsidRPr="00D653D9">
        <w:t>Social Security (Scotland) Act 2018, as inserted by the Social Security (Amendment) (Scotland) Act 2025</w:t>
      </w:r>
    </w:p>
  </w:footnote>
  <w:footnote w:id="8">
    <w:p w14:paraId="5267ADDC" w14:textId="0AE5985F" w:rsidR="00C34E19" w:rsidRDefault="00C34E19">
      <w:pPr>
        <w:pStyle w:val="FootnoteText"/>
      </w:pPr>
      <w:r>
        <w:rPr>
          <w:rStyle w:val="FootnoteReference"/>
        </w:rPr>
        <w:footnoteRef/>
      </w:r>
      <w:r>
        <w:t xml:space="preserve"> </w:t>
      </w:r>
      <w:hyperlink r:id="rId6" w:history="1">
        <w:r w:rsidRPr="009609E1">
          <w:rPr>
            <w:rStyle w:val="Hyperlink"/>
          </w:rPr>
          <w:t>https://www.gov.scot/publications/policy-note-care-leaver-payment-scotland-regulations-2026-draft/</w:t>
        </w:r>
      </w:hyperlink>
    </w:p>
  </w:footnote>
  <w:footnote w:id="9">
    <w:p w14:paraId="07A4A841" w14:textId="7C930F20" w:rsidR="00BC3199" w:rsidRDefault="00BC3199">
      <w:pPr>
        <w:pStyle w:val="FootnoteText"/>
      </w:pPr>
      <w:r>
        <w:rPr>
          <w:rStyle w:val="FootnoteReference"/>
        </w:rPr>
        <w:footnoteRef/>
      </w:r>
      <w:r>
        <w:t xml:space="preserve"> During the week beginning 2 March; the detail is summarised in the next footnote.</w:t>
      </w:r>
    </w:p>
  </w:footnote>
  <w:footnote w:id="10">
    <w:p w14:paraId="37FF1660" w14:textId="7A53987E" w:rsidR="005B6DA4" w:rsidRDefault="005B6DA4">
      <w:pPr>
        <w:pStyle w:val="FootnoteText"/>
      </w:pPr>
      <w:r>
        <w:rPr>
          <w:rStyle w:val="FootnoteReference"/>
        </w:rPr>
        <w:footnoteRef/>
      </w:r>
      <w:r>
        <w:t xml:space="preserve"> The JSW top-up figure for 2025-26 comes from Table 4.17 in the Scottish Budget for 2026-27; at the time the Scottish Budget was published, the 2026-27 figure was missing.</w:t>
      </w:r>
    </w:p>
  </w:footnote>
  <w:footnote w:id="11">
    <w:p w14:paraId="099728D4" w14:textId="21474410" w:rsidR="00160C9E" w:rsidRDefault="00160C9E" w:rsidP="00160C9E">
      <w:pPr>
        <w:rPr>
          <w:rFonts w:cs="Arial"/>
          <w:bCs/>
          <w:sz w:val="20"/>
          <w:szCs w:val="20"/>
        </w:rPr>
      </w:pPr>
      <w:r>
        <w:rPr>
          <w:rStyle w:val="FootnoteReference"/>
        </w:rPr>
        <w:footnoteRef/>
      </w:r>
      <w:r>
        <w:t xml:space="preserve"> </w:t>
      </w:r>
      <w:r w:rsidRPr="004650EB">
        <w:rPr>
          <w:rFonts w:cs="Arial"/>
          <w:bCs/>
          <w:sz w:val="20"/>
          <w:szCs w:val="20"/>
        </w:rPr>
        <w:t xml:space="preserve">JSW Grant: </w:t>
      </w:r>
      <w:r w:rsidRPr="004650EB">
        <w:rPr>
          <w:rFonts w:cs="Arial"/>
          <w:b/>
          <w:sz w:val="20"/>
          <w:szCs w:val="20"/>
        </w:rPr>
        <w:t>£86,450M</w:t>
      </w:r>
      <w:r w:rsidRPr="004650EB">
        <w:rPr>
          <w:rFonts w:cs="Arial"/>
          <w:bCs/>
          <w:sz w:val="20"/>
          <w:szCs w:val="20"/>
        </w:rPr>
        <w:t xml:space="preserve"> plus </w:t>
      </w:r>
      <w:r w:rsidRPr="004650EB">
        <w:rPr>
          <w:rFonts w:cs="Arial"/>
          <w:b/>
          <w:sz w:val="20"/>
          <w:szCs w:val="20"/>
        </w:rPr>
        <w:t>£61.331M</w:t>
      </w:r>
      <w:r w:rsidRPr="004650EB">
        <w:rPr>
          <w:rFonts w:cs="Arial"/>
          <w:bCs/>
          <w:sz w:val="20"/>
          <w:szCs w:val="20"/>
        </w:rPr>
        <w:t xml:space="preserve"> transfers to LG from SG Offender Services budgets</w:t>
      </w:r>
      <w:r w:rsidR="007B567A">
        <w:rPr>
          <w:rFonts w:cs="Arial"/>
          <w:bCs/>
          <w:sz w:val="20"/>
          <w:szCs w:val="20"/>
        </w:rPr>
        <w:t>, as follows:</w:t>
      </w:r>
    </w:p>
    <w:p w14:paraId="07060FC8" w14:textId="77777777" w:rsidR="00160C9E" w:rsidRDefault="00160C9E" w:rsidP="00160C9E">
      <w:pPr>
        <w:rPr>
          <w:rFonts w:cs="Arial"/>
          <w:bCs/>
          <w:sz w:val="20"/>
          <w:szCs w:val="20"/>
        </w:rPr>
      </w:pPr>
      <w:r w:rsidRPr="004650EB">
        <w:rPr>
          <w:rFonts w:cs="Arial"/>
          <w:bCs/>
          <w:sz w:val="20"/>
          <w:szCs w:val="20"/>
        </w:rPr>
        <w:t xml:space="preserve">(A) </w:t>
      </w:r>
      <w:r w:rsidRPr="007B567A">
        <w:rPr>
          <w:rFonts w:cs="Arial"/>
          <w:b/>
          <w:bCs/>
          <w:color w:val="000000"/>
          <w:sz w:val="20"/>
          <w:szCs w:val="20"/>
          <w:u w:val="single"/>
        </w:rPr>
        <w:t xml:space="preserve">£51,756,365 </w:t>
      </w:r>
      <w:r w:rsidRPr="007B567A">
        <w:rPr>
          <w:rFonts w:cs="Arial"/>
          <w:color w:val="000000"/>
          <w:sz w:val="20"/>
          <w:szCs w:val="20"/>
          <w:u w:val="single"/>
        </w:rPr>
        <w:t>of</w:t>
      </w:r>
      <w:r w:rsidRPr="007B567A">
        <w:rPr>
          <w:rFonts w:cs="Arial"/>
          <w:bCs/>
          <w:sz w:val="20"/>
          <w:szCs w:val="20"/>
          <w:u w:val="single"/>
        </w:rPr>
        <w:t xml:space="preserve"> transfers distributed to LAs via the Section 27 funding formula (used for the JSW Grant</w:t>
      </w:r>
      <w:r w:rsidRPr="007B567A">
        <w:rPr>
          <w:rFonts w:cs="Arial"/>
          <w:b/>
          <w:sz w:val="20"/>
          <w:szCs w:val="20"/>
          <w:u w:val="single"/>
        </w:rPr>
        <w:t>)</w:t>
      </w:r>
      <w:r w:rsidRPr="004650EB">
        <w:rPr>
          <w:rFonts w:cs="Arial"/>
          <w:bCs/>
          <w:sz w:val="20"/>
          <w:szCs w:val="20"/>
        </w:rPr>
        <w:t>:</w:t>
      </w:r>
      <w:r w:rsidRPr="004650EB">
        <w:rPr>
          <w:rFonts w:cs="Arial"/>
          <w:b/>
          <w:sz w:val="20"/>
          <w:szCs w:val="20"/>
        </w:rPr>
        <w:t xml:space="preserve"> £1.329M</w:t>
      </w:r>
      <w:r w:rsidRPr="004650EB">
        <w:rPr>
          <w:rFonts w:cs="Arial"/>
          <w:bCs/>
          <w:sz w:val="20"/>
          <w:szCs w:val="20"/>
        </w:rPr>
        <w:t xml:space="preserve"> added to core grant; new investment of </w:t>
      </w:r>
      <w:r w:rsidRPr="004650EB">
        <w:rPr>
          <w:rFonts w:cs="Arial"/>
          <w:b/>
          <w:sz w:val="20"/>
          <w:szCs w:val="20"/>
        </w:rPr>
        <w:t>£5M</w:t>
      </w:r>
      <w:r w:rsidRPr="004650EB">
        <w:rPr>
          <w:rFonts w:cs="Arial"/>
          <w:bCs/>
          <w:sz w:val="20"/>
          <w:szCs w:val="20"/>
        </w:rPr>
        <w:t xml:space="preserve">; </w:t>
      </w:r>
      <w:r w:rsidRPr="004650EB">
        <w:rPr>
          <w:rFonts w:cs="Arial"/>
          <w:b/>
          <w:sz w:val="20"/>
          <w:szCs w:val="20"/>
        </w:rPr>
        <w:t>£11M</w:t>
      </w:r>
      <w:r w:rsidRPr="004650EB">
        <w:rPr>
          <w:rFonts w:cs="Arial"/>
          <w:bCs/>
          <w:sz w:val="20"/>
          <w:szCs w:val="20"/>
        </w:rPr>
        <w:t xml:space="preserve"> now included under JSW capacity building (formerly: Community Sentences and PASS, Women’s Services &amp; Bail and Bail, SDS and Diversion); </w:t>
      </w:r>
      <w:r w:rsidRPr="004650EB">
        <w:rPr>
          <w:rFonts w:cs="Arial"/>
          <w:b/>
          <w:sz w:val="20"/>
          <w:szCs w:val="20"/>
        </w:rPr>
        <w:t>£16.4M</w:t>
      </w:r>
      <w:r w:rsidRPr="004650EB">
        <w:rPr>
          <w:rFonts w:cs="Arial"/>
          <w:bCs/>
          <w:sz w:val="20"/>
          <w:szCs w:val="20"/>
        </w:rPr>
        <w:t xml:space="preserve"> additional investment in last two years; </w:t>
      </w:r>
      <w:r w:rsidRPr="004650EB">
        <w:rPr>
          <w:rFonts w:cs="Arial"/>
          <w:b/>
          <w:sz w:val="20"/>
          <w:szCs w:val="20"/>
        </w:rPr>
        <w:t>£14M</w:t>
      </w:r>
      <w:r w:rsidRPr="004650EB">
        <w:rPr>
          <w:rFonts w:cs="Arial"/>
          <w:bCs/>
          <w:sz w:val="20"/>
          <w:szCs w:val="20"/>
        </w:rPr>
        <w:t xml:space="preserve"> baselined RRT funding; </w:t>
      </w:r>
      <w:r w:rsidRPr="004650EB">
        <w:rPr>
          <w:rFonts w:cs="Arial"/>
          <w:b/>
          <w:sz w:val="20"/>
          <w:szCs w:val="20"/>
        </w:rPr>
        <w:t xml:space="preserve">£1.527M </w:t>
      </w:r>
      <w:r w:rsidRPr="004650EB">
        <w:rPr>
          <w:rFonts w:cs="Arial"/>
          <w:bCs/>
          <w:sz w:val="20"/>
          <w:szCs w:val="20"/>
        </w:rPr>
        <w:t>legacy funding now supporting capacity;</w:t>
      </w:r>
      <w:r w:rsidRPr="004650EB">
        <w:rPr>
          <w:rFonts w:cs="Arial"/>
          <w:b/>
          <w:sz w:val="20"/>
          <w:szCs w:val="20"/>
        </w:rPr>
        <w:t>£2.5M</w:t>
      </w:r>
      <w:r w:rsidRPr="004650EB">
        <w:rPr>
          <w:rFonts w:cs="Arial"/>
          <w:bCs/>
          <w:sz w:val="20"/>
          <w:szCs w:val="20"/>
        </w:rPr>
        <w:t xml:space="preserve"> of “double ring-fenced” funding to support LA commissioning from the Third Sector</w:t>
      </w:r>
      <w:r>
        <w:rPr>
          <w:rFonts w:cs="Arial"/>
          <w:bCs/>
          <w:sz w:val="20"/>
          <w:szCs w:val="20"/>
        </w:rPr>
        <w:t xml:space="preserve">. </w:t>
      </w:r>
    </w:p>
    <w:p w14:paraId="0E981911" w14:textId="77777777" w:rsidR="00160C9E" w:rsidRPr="003D3973" w:rsidRDefault="00160C9E" w:rsidP="00160C9E">
      <w:pPr>
        <w:rPr>
          <w:rFonts w:cs="Arial"/>
          <w:bCs/>
          <w:sz w:val="20"/>
          <w:szCs w:val="20"/>
        </w:rPr>
      </w:pPr>
      <w:r>
        <w:rPr>
          <w:rFonts w:cs="Arial"/>
          <w:bCs/>
          <w:sz w:val="20"/>
          <w:szCs w:val="20"/>
        </w:rPr>
        <w:t xml:space="preserve">(B) </w:t>
      </w:r>
      <w:r w:rsidRPr="007B567A">
        <w:rPr>
          <w:rFonts w:cs="Arial"/>
          <w:b/>
          <w:bCs/>
          <w:color w:val="000000"/>
          <w:sz w:val="20"/>
          <w:szCs w:val="20"/>
          <w:u w:val="single"/>
        </w:rPr>
        <w:t>£9,574,962</w:t>
      </w:r>
      <w:r w:rsidRPr="007B567A">
        <w:rPr>
          <w:rFonts w:cs="Arial"/>
          <w:color w:val="000000"/>
          <w:sz w:val="20"/>
          <w:szCs w:val="20"/>
          <w:u w:val="single"/>
        </w:rPr>
        <w:t xml:space="preserve"> of SG Offender Services t</w:t>
      </w:r>
      <w:r w:rsidRPr="007B567A">
        <w:rPr>
          <w:rFonts w:cs="Arial"/>
          <w:bCs/>
          <w:sz w:val="20"/>
          <w:szCs w:val="20"/>
          <w:u w:val="single"/>
        </w:rPr>
        <w:t>ransfers to LAs outwith the Section 27 funding formula</w:t>
      </w:r>
      <w:r>
        <w:rPr>
          <w:rFonts w:cs="Arial"/>
          <w:bCs/>
          <w:sz w:val="20"/>
          <w:szCs w:val="20"/>
        </w:rPr>
        <w:t xml:space="preserve">: </w:t>
      </w:r>
      <w:r w:rsidRPr="004650EB">
        <w:rPr>
          <w:rFonts w:cs="Arial"/>
          <w:b/>
          <w:sz w:val="20"/>
          <w:szCs w:val="20"/>
        </w:rPr>
        <w:t>£6.943</w:t>
      </w:r>
      <w:r>
        <w:rPr>
          <w:rFonts w:cs="Arial"/>
          <w:b/>
          <w:sz w:val="20"/>
          <w:szCs w:val="20"/>
        </w:rPr>
        <w:t xml:space="preserve">M </w:t>
      </w:r>
      <w:r>
        <w:rPr>
          <w:rFonts w:cs="Arial"/>
          <w:bCs/>
          <w:sz w:val="20"/>
          <w:szCs w:val="20"/>
        </w:rPr>
        <w:t xml:space="preserve">of </w:t>
      </w:r>
      <w:r w:rsidRPr="004650EB">
        <w:rPr>
          <w:rFonts w:cs="Arial"/>
          <w:bCs/>
          <w:sz w:val="20"/>
          <w:szCs w:val="20"/>
        </w:rPr>
        <w:t>“double ring-fenced</w:t>
      </w:r>
      <w:r>
        <w:rPr>
          <w:rFonts w:cs="Arial"/>
          <w:bCs/>
          <w:sz w:val="20"/>
          <w:szCs w:val="20"/>
        </w:rPr>
        <w:t xml:space="preserve"> targeted</w:t>
      </w:r>
      <w:r w:rsidRPr="004650EB">
        <w:rPr>
          <w:rFonts w:cs="Arial"/>
          <w:bCs/>
          <w:sz w:val="20"/>
          <w:szCs w:val="20"/>
        </w:rPr>
        <w:t xml:space="preserve"> funding</w:t>
      </w:r>
      <w:r>
        <w:rPr>
          <w:rFonts w:cs="Arial"/>
          <w:bCs/>
          <w:sz w:val="20"/>
          <w:szCs w:val="20"/>
        </w:rPr>
        <w:t>” f</w:t>
      </w:r>
      <w:r w:rsidRPr="00265989">
        <w:rPr>
          <w:rFonts w:cs="Arial"/>
          <w:bCs/>
          <w:sz w:val="20"/>
          <w:szCs w:val="20"/>
        </w:rPr>
        <w:t>or</w:t>
      </w:r>
      <w:r>
        <w:rPr>
          <w:rFonts w:cs="Arial"/>
          <w:bCs/>
          <w:sz w:val="20"/>
          <w:szCs w:val="20"/>
        </w:rPr>
        <w:t xml:space="preserve"> </w:t>
      </w:r>
      <w:r w:rsidRPr="00265989">
        <w:rPr>
          <w:rFonts w:cs="Arial"/>
          <w:bCs/>
          <w:sz w:val="20"/>
          <w:szCs w:val="20"/>
        </w:rPr>
        <w:t xml:space="preserve">Caledonian services for women (£1.91M) &amp; wider rollout (£1.4M), MAPPA, </w:t>
      </w:r>
      <w:proofErr w:type="spellStart"/>
      <w:r w:rsidRPr="00265989">
        <w:rPr>
          <w:rFonts w:cs="Arial"/>
          <w:bCs/>
          <w:sz w:val="20"/>
          <w:szCs w:val="20"/>
        </w:rPr>
        <w:t>ViSOR</w:t>
      </w:r>
      <w:proofErr w:type="spellEnd"/>
      <w:r w:rsidRPr="00265989">
        <w:rPr>
          <w:rFonts w:cs="Arial"/>
          <w:bCs/>
          <w:sz w:val="20"/>
          <w:szCs w:val="20"/>
        </w:rPr>
        <w:t xml:space="preserve"> and legacy funding</w:t>
      </w:r>
      <w:r>
        <w:rPr>
          <w:rFonts w:cs="Arial"/>
          <w:bCs/>
          <w:sz w:val="20"/>
          <w:szCs w:val="20"/>
        </w:rPr>
        <w:t xml:space="preserve">; and </w:t>
      </w:r>
      <w:r w:rsidRPr="00265989">
        <w:rPr>
          <w:rFonts w:cs="Arial"/>
          <w:b/>
          <w:sz w:val="20"/>
          <w:szCs w:val="20"/>
        </w:rPr>
        <w:t>£2.6M</w:t>
      </w:r>
      <w:r>
        <w:rPr>
          <w:rFonts w:cs="Arial"/>
          <w:bCs/>
          <w:sz w:val="20"/>
          <w:szCs w:val="20"/>
        </w:rPr>
        <w:t xml:space="preserve"> for “demand-led funding” to incentivise Bail Supervision (£1.65M) and SDS (£0.983M).</w:t>
      </w:r>
    </w:p>
    <w:p w14:paraId="7C06577F" w14:textId="77777777" w:rsidR="00160C9E" w:rsidRDefault="00160C9E" w:rsidP="00160C9E">
      <w:pPr>
        <w:tabs>
          <w:tab w:val="left" w:pos="426"/>
        </w:tabs>
      </w:pPr>
      <w:r w:rsidRPr="00265989">
        <w:rPr>
          <w:rFonts w:cs="Arial"/>
          <w:bCs/>
          <w:sz w:val="20"/>
          <w:szCs w:val="20"/>
        </w:rPr>
        <w:t>(</w:t>
      </w:r>
      <w:r w:rsidRPr="007B567A">
        <w:rPr>
          <w:rFonts w:cs="Arial"/>
          <w:bCs/>
          <w:sz w:val="20"/>
          <w:szCs w:val="20"/>
          <w:u w:val="single"/>
        </w:rPr>
        <w:t xml:space="preserve">A)+(B) = </w:t>
      </w:r>
      <w:r w:rsidRPr="007B567A">
        <w:rPr>
          <w:rFonts w:cs="Arial"/>
          <w:b/>
          <w:sz w:val="20"/>
          <w:szCs w:val="20"/>
          <w:u w:val="single"/>
        </w:rPr>
        <w:t>£61,331,326</w:t>
      </w:r>
    </w:p>
  </w:footnote>
  <w:footnote w:id="12">
    <w:p w14:paraId="3726DEC5" w14:textId="77777777" w:rsidR="00FF75E3" w:rsidRDefault="00FF75E3" w:rsidP="00FF75E3">
      <w:pPr>
        <w:pStyle w:val="FootnoteText"/>
      </w:pPr>
      <w:r>
        <w:rPr>
          <w:rStyle w:val="FootnoteReference"/>
        </w:rPr>
        <w:footnoteRef/>
      </w:r>
      <w:r>
        <w:t xml:space="preserve"> </w:t>
      </w:r>
      <w:hyperlink r:id="rId7" w:history="1">
        <w:r w:rsidRPr="00B932FC">
          <w:rPr>
            <w:rStyle w:val="Hyperlink"/>
          </w:rPr>
          <w:t>https://www.cosla.gov.uk/news/2026/january/cosla-resources-spokesperson-writes-to-cabinet-secretary-for-finance-and-local-governmen#</w:t>
        </w:r>
      </w:hyperlink>
    </w:p>
  </w:footnote>
  <w:footnote w:id="13">
    <w:p w14:paraId="13A87110" w14:textId="77777777" w:rsidR="00396D49" w:rsidRDefault="00396D49" w:rsidP="00396D49">
      <w:pPr>
        <w:pStyle w:val="FootnoteText"/>
      </w:pPr>
      <w:r>
        <w:rPr>
          <w:rStyle w:val="FootnoteReference"/>
        </w:rPr>
        <w:footnoteRef/>
      </w:r>
      <w:r>
        <w:t xml:space="preserve"> </w:t>
      </w:r>
      <w:hyperlink r:id="rId8" w:history="1">
        <w:r w:rsidRPr="00F51E8E">
          <w:rPr>
            <w:rStyle w:val="Hyperlink"/>
          </w:rPr>
          <w:t>https://www.cosla.gov.uk/news/2026/january/scottish-budget-delivers-cut-to-social-care,-warns-cosla2</w:t>
        </w:r>
      </w:hyperlink>
    </w:p>
  </w:footnote>
  <w:footnote w:id="14">
    <w:p w14:paraId="69E318AA" w14:textId="734BEC28" w:rsidR="00372506" w:rsidRDefault="00372506">
      <w:pPr>
        <w:pStyle w:val="FootnoteText"/>
      </w:pPr>
      <w:r>
        <w:rPr>
          <w:rStyle w:val="FootnoteReference"/>
        </w:rPr>
        <w:footnoteRef/>
      </w:r>
      <w:r>
        <w:t xml:space="preserve"> </w:t>
      </w:r>
      <w:hyperlink r:id="rId9" w:history="1">
        <w:r w:rsidRPr="00397C59">
          <w:rPr>
            <w:rStyle w:val="Hyperlink"/>
          </w:rPr>
          <w:t>https://socialworkscotland.org/reports/the-state-and-future-of-social-work-and-social-care-funding-in-scotland/</w:t>
        </w:r>
      </w:hyperlink>
    </w:p>
  </w:footnote>
  <w:footnote w:id="15">
    <w:p w14:paraId="6A824B99" w14:textId="10BED5F1" w:rsidR="004754D7" w:rsidRDefault="004754D7">
      <w:pPr>
        <w:pStyle w:val="FootnoteText"/>
      </w:pPr>
      <w:r>
        <w:rPr>
          <w:rStyle w:val="FootnoteReference"/>
        </w:rPr>
        <w:footnoteRef/>
      </w:r>
      <w:r>
        <w:t xml:space="preserve"> </w:t>
      </w:r>
      <w:hyperlink r:id="rId10" w:history="1">
        <w:r w:rsidRPr="009A1231">
          <w:rPr>
            <w:rStyle w:val="Hyperlink"/>
          </w:rPr>
          <w:t>https://socialworkscotland.org/reports/a-call-to-action-scotland-in-your-hands/</w:t>
        </w:r>
      </w:hyperlink>
    </w:p>
  </w:footnote>
  <w:footnote w:id="16">
    <w:p w14:paraId="7B419596" w14:textId="536057AC" w:rsidR="002826C7" w:rsidRDefault="002826C7" w:rsidP="002826C7">
      <w:pPr>
        <w:pStyle w:val="FootnoteText"/>
      </w:pPr>
      <w:r>
        <w:rPr>
          <w:rStyle w:val="FootnoteReference"/>
        </w:rPr>
        <w:footnoteRef/>
      </w:r>
      <w:r>
        <w:t xml:space="preserve"> </w:t>
      </w:r>
      <w:hyperlink r:id="rId11" w:history="1">
        <w:r w:rsidR="00937704" w:rsidRPr="009609E1">
          <w:rPr>
            <w:rStyle w:val="Hyperlink"/>
          </w:rPr>
          <w:t>https://www.gov.scot/publications/scottish-local-government-finance-green-book-2026-27/</w:t>
        </w:r>
      </w:hyperlink>
      <w:r w:rsidR="00937704">
        <w:t xml:space="preserve"> published on 27 February 2026.</w:t>
      </w:r>
    </w:p>
  </w:footnote>
  <w:footnote w:id="17">
    <w:p w14:paraId="1A20456B" w14:textId="77777777" w:rsidR="00937704" w:rsidRDefault="00937704" w:rsidP="00937704">
      <w:pPr>
        <w:pStyle w:val="FootnoteText"/>
      </w:pPr>
      <w:r>
        <w:rPr>
          <w:rStyle w:val="FootnoteReference"/>
        </w:rPr>
        <w:footnoteRef/>
      </w:r>
      <w:r>
        <w:t xml:space="preserve"> </w:t>
      </w:r>
      <w:r w:rsidRPr="00A90724">
        <w:rPr>
          <w:rFonts w:eastAsia="Times New Roman" w:cs="Arial"/>
          <w:color w:val="000000"/>
          <w:kern w:val="0"/>
          <w:lang w:eastAsia="en-GB"/>
          <w14:ligatures w14:val="none"/>
        </w:rPr>
        <w:t>Settlement and Distribution Group</w:t>
      </w:r>
      <w:r>
        <w:rPr>
          <w:rFonts w:eastAsia="Times New Roman" w:cs="Arial"/>
          <w:color w:val="000000"/>
          <w:kern w:val="0"/>
          <w:lang w:eastAsia="en-GB"/>
          <w14:ligatures w14:val="none"/>
        </w:rPr>
        <w:t xml:space="preserve"> paper </w:t>
      </w:r>
      <w:proofErr w:type="gramStart"/>
      <w:r>
        <w:rPr>
          <w:rFonts w:eastAsia="Times New Roman" w:cs="Arial"/>
          <w:color w:val="000000"/>
          <w:kern w:val="0"/>
          <w:lang w:eastAsia="en-GB"/>
          <w14:ligatures w14:val="none"/>
        </w:rPr>
        <w:t>s(</w:t>
      </w:r>
      <w:proofErr w:type="gramEnd"/>
      <w:r>
        <w:rPr>
          <w:rFonts w:eastAsia="Times New Roman" w:cs="Arial"/>
          <w:color w:val="000000"/>
          <w:kern w:val="0"/>
          <w:lang w:eastAsia="en-GB"/>
          <w14:ligatures w14:val="none"/>
        </w:rPr>
        <w:t>and those for the GAE Data issues group) are circulated to LA Directors of Finance but not published on the SG or COSLA websites.</w:t>
      </w:r>
    </w:p>
  </w:footnote>
  <w:footnote w:id="18">
    <w:p w14:paraId="5D38B74F" w14:textId="59DCB832" w:rsidR="00657B4D" w:rsidRDefault="00657B4D">
      <w:pPr>
        <w:pStyle w:val="FootnoteText"/>
      </w:pPr>
      <w:r>
        <w:rPr>
          <w:rStyle w:val="FootnoteReference"/>
        </w:rPr>
        <w:footnoteRef/>
      </w:r>
      <w:r>
        <w:t xml:space="preserve"> </w:t>
      </w:r>
      <w:r>
        <w:rPr>
          <w:rFonts w:eastAsia="Times New Roman" w:cs="Arial"/>
          <w:color w:val="000000"/>
          <w:kern w:val="0"/>
          <w:lang w:eastAsia="en-GB"/>
          <w14:ligatures w14:val="none"/>
        </w:rPr>
        <w:t>60%</w:t>
      </w:r>
      <w:r w:rsidRPr="00FF75E3">
        <w:rPr>
          <w:rFonts w:eastAsia="Times New Roman" w:cs="Arial"/>
          <w:color w:val="000000"/>
          <w:kern w:val="0"/>
          <w:lang w:eastAsia="en-GB"/>
          <w14:ligatures w14:val="none"/>
        </w:rPr>
        <w:t xml:space="preserve"> distributed via GAE ‘Casework and Related Administration: Children’, plus </w:t>
      </w:r>
      <w:r>
        <w:rPr>
          <w:rFonts w:eastAsia="Times New Roman" w:cs="Arial"/>
          <w:color w:val="000000"/>
          <w:kern w:val="0"/>
          <w:lang w:eastAsia="en-GB"/>
          <w14:ligatures w14:val="none"/>
        </w:rPr>
        <w:t>40%</w:t>
      </w:r>
      <w:r w:rsidRPr="00FF75E3">
        <w:rPr>
          <w:rFonts w:eastAsia="Times New Roman" w:cs="Arial"/>
          <w:color w:val="000000"/>
          <w:kern w:val="0"/>
          <w:lang w:eastAsia="en-GB"/>
          <w14:ligatures w14:val="none"/>
        </w:rPr>
        <w:t xml:space="preserve"> via GAE ‘Changing Children’s Services Development Fund</w:t>
      </w:r>
    </w:p>
  </w:footnote>
  <w:footnote w:id="19">
    <w:p w14:paraId="2F8C36C3" w14:textId="77777777" w:rsidR="00657B4D" w:rsidRDefault="00657B4D" w:rsidP="001A6F3B">
      <w:pPr>
        <w:pStyle w:val="FootnoteText"/>
      </w:pPr>
      <w:r>
        <w:rPr>
          <w:rStyle w:val="FootnoteReference"/>
        </w:rPr>
        <w:footnoteRef/>
      </w:r>
      <w:r>
        <w:t xml:space="preserve"> Free Personal Care was extended to eligible adults aged under 65 from 2019-20, at a cost of £29.5M distributed (somewhat crudely) in proportion to population aged 16-64. However, subsequent GAE Green Books show this amount has never been increased, so all FPNC uplifts are being distributed via the composite indicators of need for Personal and Nursing Care for Older People. </w:t>
      </w:r>
    </w:p>
  </w:footnote>
  <w:footnote w:id="20">
    <w:p w14:paraId="3EDF7706" w14:textId="77584C0C" w:rsidR="003055E6" w:rsidRDefault="009D5F41">
      <w:pPr>
        <w:pStyle w:val="FootnoteText"/>
      </w:pPr>
      <w:r>
        <w:rPr>
          <w:rStyle w:val="FootnoteReference"/>
        </w:rPr>
        <w:footnoteRef/>
      </w:r>
      <w:r>
        <w:t xml:space="preserve"> </w:t>
      </w:r>
      <w:hyperlink r:id="rId12" w:history="1">
        <w:r w:rsidR="003055E6" w:rsidRPr="00120087">
          <w:rPr>
            <w:rStyle w:val="Hyperlink"/>
          </w:rPr>
          <w:t>https://socialworkscotland.org/reports/funding-for-local-government-social-work-and-social-care-services-in-2026-27/</w:t>
        </w:r>
      </w:hyperlink>
    </w:p>
  </w:footnote>
  <w:footnote w:id="21">
    <w:p w14:paraId="5D857C39" w14:textId="1461647A" w:rsidR="00CB2CDC" w:rsidRDefault="00CB2CDC" w:rsidP="00CB2CDC">
      <w:pPr>
        <w:pStyle w:val="FootnoteText"/>
      </w:pPr>
      <w:r>
        <w:rPr>
          <w:rStyle w:val="FootnoteReference"/>
        </w:rPr>
        <w:footnoteRef/>
      </w:r>
      <w:r>
        <w:t xml:space="preserve"> As identified in paragraph 4 of Local Government Finance Circular 2/2026, </w:t>
      </w:r>
      <w:r w:rsidRPr="00CB2CDC">
        <w:t>26 February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7A0D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3DAB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7F6BC0"/>
    <w:multiLevelType w:val="hybridMultilevel"/>
    <w:tmpl w:val="F778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A5B84"/>
    <w:multiLevelType w:val="hybridMultilevel"/>
    <w:tmpl w:val="D230FA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F755A0"/>
    <w:multiLevelType w:val="hybridMultilevel"/>
    <w:tmpl w:val="4994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71E58"/>
    <w:multiLevelType w:val="multilevel"/>
    <w:tmpl w:val="0809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4109E1"/>
    <w:multiLevelType w:val="hybridMultilevel"/>
    <w:tmpl w:val="410E29C8"/>
    <w:lvl w:ilvl="0" w:tplc="1018B4C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C4202"/>
    <w:multiLevelType w:val="hybridMultilevel"/>
    <w:tmpl w:val="2D8E21AA"/>
    <w:lvl w:ilvl="0" w:tplc="FFFFFFFF">
      <w:start w:val="1"/>
      <w:numFmt w:val="bullet"/>
      <w:lvlText w:val="•"/>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7E3840"/>
    <w:multiLevelType w:val="hybridMultilevel"/>
    <w:tmpl w:val="00CCCA8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A948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6CF7F21"/>
    <w:multiLevelType w:val="hybridMultilevel"/>
    <w:tmpl w:val="CB5C0E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6023333"/>
    <w:multiLevelType w:val="hybridMultilevel"/>
    <w:tmpl w:val="F7F64E3E"/>
    <w:lvl w:ilvl="0" w:tplc="56BCE9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865F4A"/>
    <w:multiLevelType w:val="multilevel"/>
    <w:tmpl w:val="EBAE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0E1D83"/>
    <w:multiLevelType w:val="hybridMultilevel"/>
    <w:tmpl w:val="21FE5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BD45E8"/>
    <w:multiLevelType w:val="hybridMultilevel"/>
    <w:tmpl w:val="288AB8DC"/>
    <w:lvl w:ilvl="0" w:tplc="0E60C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F07AEA"/>
    <w:multiLevelType w:val="hybridMultilevel"/>
    <w:tmpl w:val="727EEBF4"/>
    <w:lvl w:ilvl="0" w:tplc="FFFFFFFF">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855E4D"/>
    <w:multiLevelType w:val="multilevel"/>
    <w:tmpl w:val="F26A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13699"/>
    <w:multiLevelType w:val="multilevel"/>
    <w:tmpl w:val="7A8A8E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D35D47"/>
    <w:multiLevelType w:val="multilevel"/>
    <w:tmpl w:val="7AB4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C4AA2"/>
    <w:multiLevelType w:val="hybridMultilevel"/>
    <w:tmpl w:val="E87A2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DB1DA0"/>
    <w:multiLevelType w:val="hybridMultilevel"/>
    <w:tmpl w:val="FA56691C"/>
    <w:lvl w:ilvl="0" w:tplc="530450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227A1"/>
    <w:multiLevelType w:val="hybridMultilevel"/>
    <w:tmpl w:val="06846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8610FD"/>
    <w:multiLevelType w:val="hybridMultilevel"/>
    <w:tmpl w:val="34A88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CE7173"/>
    <w:multiLevelType w:val="multilevel"/>
    <w:tmpl w:val="19960D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5051679">
    <w:abstractNumId w:val="11"/>
  </w:num>
  <w:num w:numId="2" w16cid:durableId="458376402">
    <w:abstractNumId w:val="5"/>
  </w:num>
  <w:num w:numId="3" w16cid:durableId="1945727610">
    <w:abstractNumId w:val="23"/>
  </w:num>
  <w:num w:numId="4" w16cid:durableId="1048340663">
    <w:abstractNumId w:val="2"/>
  </w:num>
  <w:num w:numId="5" w16cid:durableId="229511063">
    <w:abstractNumId w:val="12"/>
  </w:num>
  <w:num w:numId="6" w16cid:durableId="2031293559">
    <w:abstractNumId w:val="17"/>
  </w:num>
  <w:num w:numId="7" w16cid:durableId="1970240700">
    <w:abstractNumId w:val="4"/>
  </w:num>
  <w:num w:numId="8" w16cid:durableId="1882983861">
    <w:abstractNumId w:val="21"/>
  </w:num>
  <w:num w:numId="9" w16cid:durableId="1247809288">
    <w:abstractNumId w:val="19"/>
  </w:num>
  <w:num w:numId="10" w16cid:durableId="1192493323">
    <w:abstractNumId w:val="13"/>
  </w:num>
  <w:num w:numId="11" w16cid:durableId="694815027">
    <w:abstractNumId w:val="6"/>
  </w:num>
  <w:num w:numId="12" w16cid:durableId="1633707943">
    <w:abstractNumId w:val="0"/>
  </w:num>
  <w:num w:numId="13" w16cid:durableId="1419325065">
    <w:abstractNumId w:val="9"/>
  </w:num>
  <w:num w:numId="14" w16cid:durableId="1894075249">
    <w:abstractNumId w:val="16"/>
  </w:num>
  <w:num w:numId="15" w16cid:durableId="334891225">
    <w:abstractNumId w:val="10"/>
  </w:num>
  <w:num w:numId="16" w16cid:durableId="568461612">
    <w:abstractNumId w:val="14"/>
  </w:num>
  <w:num w:numId="17" w16cid:durableId="2020768426">
    <w:abstractNumId w:val="1"/>
  </w:num>
  <w:num w:numId="18" w16cid:durableId="945501734">
    <w:abstractNumId w:val="8"/>
  </w:num>
  <w:num w:numId="19" w16cid:durableId="64767724">
    <w:abstractNumId w:val="7"/>
  </w:num>
  <w:num w:numId="20" w16cid:durableId="1886407963">
    <w:abstractNumId w:val="15"/>
  </w:num>
  <w:num w:numId="21" w16cid:durableId="418526471">
    <w:abstractNumId w:val="18"/>
  </w:num>
  <w:num w:numId="22" w16cid:durableId="76561724">
    <w:abstractNumId w:val="3"/>
  </w:num>
  <w:num w:numId="23" w16cid:durableId="1717006050">
    <w:abstractNumId w:val="22"/>
  </w:num>
  <w:num w:numId="24" w16cid:durableId="18066554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A7"/>
    <w:rsid w:val="00002DC9"/>
    <w:rsid w:val="00007790"/>
    <w:rsid w:val="00013922"/>
    <w:rsid w:val="00034FAC"/>
    <w:rsid w:val="0003573D"/>
    <w:rsid w:val="00041C3C"/>
    <w:rsid w:val="0004356D"/>
    <w:rsid w:val="00074C20"/>
    <w:rsid w:val="00095CA7"/>
    <w:rsid w:val="000A152A"/>
    <w:rsid w:val="000A5022"/>
    <w:rsid w:val="000B34C0"/>
    <w:rsid w:val="000C23A0"/>
    <w:rsid w:val="000C5B00"/>
    <w:rsid w:val="000C681A"/>
    <w:rsid w:val="000C74EC"/>
    <w:rsid w:val="000D0AE9"/>
    <w:rsid w:val="00100925"/>
    <w:rsid w:val="00105474"/>
    <w:rsid w:val="00110C1E"/>
    <w:rsid w:val="00112B41"/>
    <w:rsid w:val="00113A26"/>
    <w:rsid w:val="00113D8F"/>
    <w:rsid w:val="00133427"/>
    <w:rsid w:val="00145A6A"/>
    <w:rsid w:val="00160C9E"/>
    <w:rsid w:val="001708E6"/>
    <w:rsid w:val="0017586F"/>
    <w:rsid w:val="001818B6"/>
    <w:rsid w:val="00187074"/>
    <w:rsid w:val="00195D50"/>
    <w:rsid w:val="001A3A9C"/>
    <w:rsid w:val="001A65FF"/>
    <w:rsid w:val="001A6F0F"/>
    <w:rsid w:val="001A6F3B"/>
    <w:rsid w:val="001B119C"/>
    <w:rsid w:val="001B1892"/>
    <w:rsid w:val="001B3311"/>
    <w:rsid w:val="001B3998"/>
    <w:rsid w:val="001B4D33"/>
    <w:rsid w:val="001C0074"/>
    <w:rsid w:val="001C7EF2"/>
    <w:rsid w:val="001D377D"/>
    <w:rsid w:val="001D4A0A"/>
    <w:rsid w:val="00200DC6"/>
    <w:rsid w:val="00207978"/>
    <w:rsid w:val="00215A9A"/>
    <w:rsid w:val="00217B51"/>
    <w:rsid w:val="00225483"/>
    <w:rsid w:val="00235962"/>
    <w:rsid w:val="002473CD"/>
    <w:rsid w:val="00247698"/>
    <w:rsid w:val="0025764F"/>
    <w:rsid w:val="002620CB"/>
    <w:rsid w:val="002751E6"/>
    <w:rsid w:val="0028047E"/>
    <w:rsid w:val="002826C7"/>
    <w:rsid w:val="002855A5"/>
    <w:rsid w:val="002B4684"/>
    <w:rsid w:val="002B5A77"/>
    <w:rsid w:val="002B5F0B"/>
    <w:rsid w:val="002C6830"/>
    <w:rsid w:val="002D0298"/>
    <w:rsid w:val="002E59F4"/>
    <w:rsid w:val="002E634B"/>
    <w:rsid w:val="003055E6"/>
    <w:rsid w:val="00311972"/>
    <w:rsid w:val="00324DE1"/>
    <w:rsid w:val="003335BE"/>
    <w:rsid w:val="003451F3"/>
    <w:rsid w:val="00372506"/>
    <w:rsid w:val="00377E4E"/>
    <w:rsid w:val="003954BD"/>
    <w:rsid w:val="00396D49"/>
    <w:rsid w:val="003A00E7"/>
    <w:rsid w:val="003A5AA7"/>
    <w:rsid w:val="003B250B"/>
    <w:rsid w:val="003B41F0"/>
    <w:rsid w:val="003B42F9"/>
    <w:rsid w:val="003B5248"/>
    <w:rsid w:val="003B6C72"/>
    <w:rsid w:val="003B6CF0"/>
    <w:rsid w:val="003C7466"/>
    <w:rsid w:val="003D2789"/>
    <w:rsid w:val="003F0577"/>
    <w:rsid w:val="003F361B"/>
    <w:rsid w:val="003F5C50"/>
    <w:rsid w:val="00412413"/>
    <w:rsid w:val="004257CD"/>
    <w:rsid w:val="004317B1"/>
    <w:rsid w:val="004415A6"/>
    <w:rsid w:val="00441AB8"/>
    <w:rsid w:val="0044363D"/>
    <w:rsid w:val="00443879"/>
    <w:rsid w:val="004607DE"/>
    <w:rsid w:val="004754D7"/>
    <w:rsid w:val="004770EB"/>
    <w:rsid w:val="004779DD"/>
    <w:rsid w:val="00482594"/>
    <w:rsid w:val="00487DFD"/>
    <w:rsid w:val="004A0C5E"/>
    <w:rsid w:val="004A0ED2"/>
    <w:rsid w:val="004A5A98"/>
    <w:rsid w:val="004B1851"/>
    <w:rsid w:val="004C39FD"/>
    <w:rsid w:val="004D128E"/>
    <w:rsid w:val="004E2208"/>
    <w:rsid w:val="004E78E4"/>
    <w:rsid w:val="005048B4"/>
    <w:rsid w:val="00506D8D"/>
    <w:rsid w:val="00507F10"/>
    <w:rsid w:val="00512A29"/>
    <w:rsid w:val="0051409E"/>
    <w:rsid w:val="00522A8D"/>
    <w:rsid w:val="00536E47"/>
    <w:rsid w:val="00542BF7"/>
    <w:rsid w:val="005441A0"/>
    <w:rsid w:val="00546184"/>
    <w:rsid w:val="005479B1"/>
    <w:rsid w:val="00550DE2"/>
    <w:rsid w:val="00553EBA"/>
    <w:rsid w:val="00554E6F"/>
    <w:rsid w:val="00554FBD"/>
    <w:rsid w:val="0055744D"/>
    <w:rsid w:val="005641AD"/>
    <w:rsid w:val="00565F14"/>
    <w:rsid w:val="00575A8D"/>
    <w:rsid w:val="00580B07"/>
    <w:rsid w:val="005921BE"/>
    <w:rsid w:val="005A0457"/>
    <w:rsid w:val="005B3DED"/>
    <w:rsid w:val="005B6DA4"/>
    <w:rsid w:val="005B7233"/>
    <w:rsid w:val="005B75C6"/>
    <w:rsid w:val="005C4210"/>
    <w:rsid w:val="005E121F"/>
    <w:rsid w:val="005E7CA1"/>
    <w:rsid w:val="0060264D"/>
    <w:rsid w:val="00617FDE"/>
    <w:rsid w:val="0062245B"/>
    <w:rsid w:val="00622C68"/>
    <w:rsid w:val="006234E2"/>
    <w:rsid w:val="00626EFA"/>
    <w:rsid w:val="00654C56"/>
    <w:rsid w:val="00657B4D"/>
    <w:rsid w:val="00661372"/>
    <w:rsid w:val="0066759E"/>
    <w:rsid w:val="00676AED"/>
    <w:rsid w:val="006773B8"/>
    <w:rsid w:val="006805D0"/>
    <w:rsid w:val="0068512E"/>
    <w:rsid w:val="00696D52"/>
    <w:rsid w:val="006A05FA"/>
    <w:rsid w:val="006A31C4"/>
    <w:rsid w:val="006B5214"/>
    <w:rsid w:val="006C00B1"/>
    <w:rsid w:val="006C06E1"/>
    <w:rsid w:val="006C0CA1"/>
    <w:rsid w:val="006C2CA2"/>
    <w:rsid w:val="006C6B15"/>
    <w:rsid w:val="006E0DF9"/>
    <w:rsid w:val="00714D6D"/>
    <w:rsid w:val="00717FD9"/>
    <w:rsid w:val="007242D4"/>
    <w:rsid w:val="00742EC6"/>
    <w:rsid w:val="00744BD2"/>
    <w:rsid w:val="00746688"/>
    <w:rsid w:val="00751120"/>
    <w:rsid w:val="007840B5"/>
    <w:rsid w:val="0079781F"/>
    <w:rsid w:val="007A06C7"/>
    <w:rsid w:val="007B26BB"/>
    <w:rsid w:val="007B567A"/>
    <w:rsid w:val="007D4B65"/>
    <w:rsid w:val="007E5BC7"/>
    <w:rsid w:val="007F0133"/>
    <w:rsid w:val="007F5955"/>
    <w:rsid w:val="007F5E43"/>
    <w:rsid w:val="008032A1"/>
    <w:rsid w:val="00806229"/>
    <w:rsid w:val="00806D06"/>
    <w:rsid w:val="0082000E"/>
    <w:rsid w:val="00830AE1"/>
    <w:rsid w:val="00840A20"/>
    <w:rsid w:val="00843F31"/>
    <w:rsid w:val="00851CC6"/>
    <w:rsid w:val="00853B40"/>
    <w:rsid w:val="008613A9"/>
    <w:rsid w:val="00862FEA"/>
    <w:rsid w:val="00864B9C"/>
    <w:rsid w:val="00871417"/>
    <w:rsid w:val="008953D5"/>
    <w:rsid w:val="008A0C82"/>
    <w:rsid w:val="008A6749"/>
    <w:rsid w:val="008A6B71"/>
    <w:rsid w:val="008B64E2"/>
    <w:rsid w:val="008E02DC"/>
    <w:rsid w:val="008E58BD"/>
    <w:rsid w:val="008F2804"/>
    <w:rsid w:val="009006ED"/>
    <w:rsid w:val="009008D5"/>
    <w:rsid w:val="00902ABE"/>
    <w:rsid w:val="00912863"/>
    <w:rsid w:val="00913672"/>
    <w:rsid w:val="00937704"/>
    <w:rsid w:val="00947ABD"/>
    <w:rsid w:val="0095059B"/>
    <w:rsid w:val="00951FC9"/>
    <w:rsid w:val="009623BD"/>
    <w:rsid w:val="009659B5"/>
    <w:rsid w:val="00966A98"/>
    <w:rsid w:val="009676F1"/>
    <w:rsid w:val="009718B8"/>
    <w:rsid w:val="00984B94"/>
    <w:rsid w:val="0098544C"/>
    <w:rsid w:val="00990BE3"/>
    <w:rsid w:val="009A65F3"/>
    <w:rsid w:val="009B0BC8"/>
    <w:rsid w:val="009B29E8"/>
    <w:rsid w:val="009B60B6"/>
    <w:rsid w:val="009B7E4B"/>
    <w:rsid w:val="009C1E80"/>
    <w:rsid w:val="009C23C9"/>
    <w:rsid w:val="009D08B9"/>
    <w:rsid w:val="009D3F6E"/>
    <w:rsid w:val="009D42C0"/>
    <w:rsid w:val="009D5F41"/>
    <w:rsid w:val="009D6683"/>
    <w:rsid w:val="009D6EEF"/>
    <w:rsid w:val="009E0E65"/>
    <w:rsid w:val="009E2C96"/>
    <w:rsid w:val="009F595E"/>
    <w:rsid w:val="00A04F64"/>
    <w:rsid w:val="00A0585C"/>
    <w:rsid w:val="00A2077F"/>
    <w:rsid w:val="00A25C56"/>
    <w:rsid w:val="00A30E4F"/>
    <w:rsid w:val="00A508C7"/>
    <w:rsid w:val="00A51502"/>
    <w:rsid w:val="00A546C1"/>
    <w:rsid w:val="00A55A91"/>
    <w:rsid w:val="00A64BF3"/>
    <w:rsid w:val="00A7236C"/>
    <w:rsid w:val="00A72B24"/>
    <w:rsid w:val="00A75F92"/>
    <w:rsid w:val="00A83D0E"/>
    <w:rsid w:val="00A90724"/>
    <w:rsid w:val="00A975B0"/>
    <w:rsid w:val="00AA0164"/>
    <w:rsid w:val="00AA40F6"/>
    <w:rsid w:val="00AA551F"/>
    <w:rsid w:val="00AB5016"/>
    <w:rsid w:val="00AC2786"/>
    <w:rsid w:val="00AD0560"/>
    <w:rsid w:val="00AD4D20"/>
    <w:rsid w:val="00AD57A3"/>
    <w:rsid w:val="00AE5229"/>
    <w:rsid w:val="00B06B15"/>
    <w:rsid w:val="00B10949"/>
    <w:rsid w:val="00B11B07"/>
    <w:rsid w:val="00B14C02"/>
    <w:rsid w:val="00B23CFA"/>
    <w:rsid w:val="00B24672"/>
    <w:rsid w:val="00B302F1"/>
    <w:rsid w:val="00B36CB7"/>
    <w:rsid w:val="00B37543"/>
    <w:rsid w:val="00B4206C"/>
    <w:rsid w:val="00B47704"/>
    <w:rsid w:val="00B5278A"/>
    <w:rsid w:val="00B559E9"/>
    <w:rsid w:val="00B6184C"/>
    <w:rsid w:val="00B67F13"/>
    <w:rsid w:val="00B7665C"/>
    <w:rsid w:val="00B831AC"/>
    <w:rsid w:val="00B84EF9"/>
    <w:rsid w:val="00B85FCC"/>
    <w:rsid w:val="00B86A0D"/>
    <w:rsid w:val="00B95036"/>
    <w:rsid w:val="00B95E04"/>
    <w:rsid w:val="00B9632D"/>
    <w:rsid w:val="00B96D42"/>
    <w:rsid w:val="00BA4E47"/>
    <w:rsid w:val="00BA4E73"/>
    <w:rsid w:val="00BA5F3F"/>
    <w:rsid w:val="00BB0DAD"/>
    <w:rsid w:val="00BB11BD"/>
    <w:rsid w:val="00BB1C0F"/>
    <w:rsid w:val="00BC0B9E"/>
    <w:rsid w:val="00BC3199"/>
    <w:rsid w:val="00BC77C1"/>
    <w:rsid w:val="00BD5853"/>
    <w:rsid w:val="00BE1740"/>
    <w:rsid w:val="00BF4694"/>
    <w:rsid w:val="00BF6F3B"/>
    <w:rsid w:val="00C036D2"/>
    <w:rsid w:val="00C04A22"/>
    <w:rsid w:val="00C16A9A"/>
    <w:rsid w:val="00C34E19"/>
    <w:rsid w:val="00C45C83"/>
    <w:rsid w:val="00C46D38"/>
    <w:rsid w:val="00C603E7"/>
    <w:rsid w:val="00C608AA"/>
    <w:rsid w:val="00C64409"/>
    <w:rsid w:val="00C813EC"/>
    <w:rsid w:val="00CB2CDC"/>
    <w:rsid w:val="00CB3202"/>
    <w:rsid w:val="00CD5CD3"/>
    <w:rsid w:val="00CE77EF"/>
    <w:rsid w:val="00CF2840"/>
    <w:rsid w:val="00D0351A"/>
    <w:rsid w:val="00D04465"/>
    <w:rsid w:val="00D06295"/>
    <w:rsid w:val="00D120C7"/>
    <w:rsid w:val="00D20063"/>
    <w:rsid w:val="00D21841"/>
    <w:rsid w:val="00D24ADD"/>
    <w:rsid w:val="00D6058F"/>
    <w:rsid w:val="00D653D9"/>
    <w:rsid w:val="00D763D4"/>
    <w:rsid w:val="00D82F78"/>
    <w:rsid w:val="00D87589"/>
    <w:rsid w:val="00D908C3"/>
    <w:rsid w:val="00D94E3F"/>
    <w:rsid w:val="00DB1E2A"/>
    <w:rsid w:val="00DC1345"/>
    <w:rsid w:val="00DC485F"/>
    <w:rsid w:val="00DD0B5C"/>
    <w:rsid w:val="00DD6F12"/>
    <w:rsid w:val="00DD772F"/>
    <w:rsid w:val="00DF3491"/>
    <w:rsid w:val="00E02F6B"/>
    <w:rsid w:val="00E0671F"/>
    <w:rsid w:val="00E206BD"/>
    <w:rsid w:val="00E234B5"/>
    <w:rsid w:val="00E31A45"/>
    <w:rsid w:val="00E31C45"/>
    <w:rsid w:val="00E347AD"/>
    <w:rsid w:val="00E36D5A"/>
    <w:rsid w:val="00E40C83"/>
    <w:rsid w:val="00E43765"/>
    <w:rsid w:val="00E51C25"/>
    <w:rsid w:val="00E55A9B"/>
    <w:rsid w:val="00E61762"/>
    <w:rsid w:val="00E738BF"/>
    <w:rsid w:val="00E75F60"/>
    <w:rsid w:val="00E76112"/>
    <w:rsid w:val="00E805CD"/>
    <w:rsid w:val="00E8151A"/>
    <w:rsid w:val="00E93A6E"/>
    <w:rsid w:val="00E940DB"/>
    <w:rsid w:val="00E962AC"/>
    <w:rsid w:val="00EA476F"/>
    <w:rsid w:val="00ED3419"/>
    <w:rsid w:val="00ED5F33"/>
    <w:rsid w:val="00ED71FD"/>
    <w:rsid w:val="00EE4C31"/>
    <w:rsid w:val="00EE624E"/>
    <w:rsid w:val="00EE6E0E"/>
    <w:rsid w:val="00EF1C23"/>
    <w:rsid w:val="00EF73C6"/>
    <w:rsid w:val="00F054DA"/>
    <w:rsid w:val="00F13D0C"/>
    <w:rsid w:val="00F52CED"/>
    <w:rsid w:val="00F606B0"/>
    <w:rsid w:val="00F70656"/>
    <w:rsid w:val="00F8704C"/>
    <w:rsid w:val="00FA2287"/>
    <w:rsid w:val="00FB32D8"/>
    <w:rsid w:val="00FB7C2C"/>
    <w:rsid w:val="00FB7EA7"/>
    <w:rsid w:val="00FC169A"/>
    <w:rsid w:val="00FC25FD"/>
    <w:rsid w:val="00FC2CCD"/>
    <w:rsid w:val="00FD61BA"/>
    <w:rsid w:val="00FE2871"/>
    <w:rsid w:val="00FF644E"/>
    <w:rsid w:val="00FF7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DF97"/>
  <w15:chartTrackingRefBased/>
  <w15:docId w15:val="{889FF3D2-9DE4-41C7-8186-145A2146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4D"/>
  </w:style>
  <w:style w:type="paragraph" w:styleId="Heading1">
    <w:name w:val="heading 1"/>
    <w:basedOn w:val="Normal"/>
    <w:next w:val="Normal"/>
    <w:link w:val="Heading1Char"/>
    <w:uiPriority w:val="9"/>
    <w:qFormat/>
    <w:rsid w:val="003A5A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5A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A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A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3A5AA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5AA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5AA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5AA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5AA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A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A5A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AA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AA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3A5AA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5A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5A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5A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5A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5A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A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A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A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5A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5AA7"/>
    <w:rPr>
      <w:i/>
      <w:iCs/>
      <w:color w:val="404040" w:themeColor="text1" w:themeTint="BF"/>
    </w:rPr>
  </w:style>
  <w:style w:type="paragraph" w:styleId="ListParagraph">
    <w:name w:val="List Paragraph"/>
    <w:basedOn w:val="Normal"/>
    <w:uiPriority w:val="34"/>
    <w:qFormat/>
    <w:rsid w:val="003A5AA7"/>
    <w:pPr>
      <w:ind w:left="720"/>
      <w:contextualSpacing/>
    </w:pPr>
  </w:style>
  <w:style w:type="character" w:styleId="IntenseEmphasis">
    <w:name w:val="Intense Emphasis"/>
    <w:basedOn w:val="DefaultParagraphFont"/>
    <w:uiPriority w:val="21"/>
    <w:qFormat/>
    <w:rsid w:val="003A5AA7"/>
    <w:rPr>
      <w:i/>
      <w:iCs/>
      <w:color w:val="2F5496" w:themeColor="accent1" w:themeShade="BF"/>
    </w:rPr>
  </w:style>
  <w:style w:type="paragraph" w:styleId="IntenseQuote">
    <w:name w:val="Intense Quote"/>
    <w:basedOn w:val="Normal"/>
    <w:next w:val="Normal"/>
    <w:link w:val="IntenseQuoteChar"/>
    <w:uiPriority w:val="30"/>
    <w:qFormat/>
    <w:rsid w:val="003A5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AA7"/>
    <w:rPr>
      <w:i/>
      <w:iCs/>
      <w:color w:val="2F5496" w:themeColor="accent1" w:themeShade="BF"/>
    </w:rPr>
  </w:style>
  <w:style w:type="character" w:styleId="IntenseReference">
    <w:name w:val="Intense Reference"/>
    <w:basedOn w:val="DefaultParagraphFont"/>
    <w:uiPriority w:val="32"/>
    <w:qFormat/>
    <w:rsid w:val="003A5AA7"/>
    <w:rPr>
      <w:b/>
      <w:bCs/>
      <w:smallCaps/>
      <w:color w:val="2F5496" w:themeColor="accent1" w:themeShade="BF"/>
      <w:spacing w:val="5"/>
    </w:rPr>
  </w:style>
  <w:style w:type="paragraph" w:styleId="FootnoteText">
    <w:name w:val="footnote text"/>
    <w:basedOn w:val="Normal"/>
    <w:link w:val="FootnoteTextChar"/>
    <w:uiPriority w:val="99"/>
    <w:unhideWhenUsed/>
    <w:rsid w:val="00A2077F"/>
    <w:rPr>
      <w:sz w:val="20"/>
      <w:szCs w:val="20"/>
    </w:rPr>
  </w:style>
  <w:style w:type="character" w:customStyle="1" w:styleId="FootnoteTextChar">
    <w:name w:val="Footnote Text Char"/>
    <w:basedOn w:val="DefaultParagraphFont"/>
    <w:link w:val="FootnoteText"/>
    <w:uiPriority w:val="99"/>
    <w:rsid w:val="00A2077F"/>
    <w:rPr>
      <w:sz w:val="20"/>
      <w:szCs w:val="20"/>
    </w:rPr>
  </w:style>
  <w:style w:type="character" w:styleId="FootnoteReference">
    <w:name w:val="footnote reference"/>
    <w:basedOn w:val="DefaultParagraphFont"/>
    <w:uiPriority w:val="99"/>
    <w:semiHidden/>
    <w:unhideWhenUsed/>
    <w:rsid w:val="00A2077F"/>
    <w:rPr>
      <w:vertAlign w:val="superscript"/>
    </w:rPr>
  </w:style>
  <w:style w:type="character" w:styleId="Hyperlink">
    <w:name w:val="Hyperlink"/>
    <w:basedOn w:val="DefaultParagraphFont"/>
    <w:uiPriority w:val="99"/>
    <w:unhideWhenUsed/>
    <w:rsid w:val="003F361B"/>
    <w:rPr>
      <w:color w:val="0563C1" w:themeColor="hyperlink"/>
      <w:u w:val="single"/>
    </w:rPr>
  </w:style>
  <w:style w:type="character" w:styleId="UnresolvedMention">
    <w:name w:val="Unresolved Mention"/>
    <w:basedOn w:val="DefaultParagraphFont"/>
    <w:uiPriority w:val="99"/>
    <w:semiHidden/>
    <w:unhideWhenUsed/>
    <w:rsid w:val="001B3998"/>
    <w:rPr>
      <w:color w:val="605E5C"/>
      <w:shd w:val="clear" w:color="auto" w:fill="E1DFDD"/>
    </w:rPr>
  </w:style>
  <w:style w:type="table" w:styleId="TableGrid">
    <w:name w:val="Table Grid"/>
    <w:basedOn w:val="TableNormal"/>
    <w:uiPriority w:val="39"/>
    <w:rsid w:val="0058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0B07"/>
    <w:pPr>
      <w:tabs>
        <w:tab w:val="center" w:pos="4513"/>
        <w:tab w:val="right" w:pos="9026"/>
      </w:tabs>
    </w:pPr>
  </w:style>
  <w:style w:type="character" w:customStyle="1" w:styleId="HeaderChar">
    <w:name w:val="Header Char"/>
    <w:basedOn w:val="DefaultParagraphFont"/>
    <w:link w:val="Header"/>
    <w:uiPriority w:val="99"/>
    <w:rsid w:val="00580B07"/>
  </w:style>
  <w:style w:type="paragraph" w:styleId="Footer">
    <w:name w:val="footer"/>
    <w:basedOn w:val="Normal"/>
    <w:link w:val="FooterChar"/>
    <w:uiPriority w:val="99"/>
    <w:unhideWhenUsed/>
    <w:rsid w:val="00580B07"/>
    <w:pPr>
      <w:tabs>
        <w:tab w:val="center" w:pos="4513"/>
        <w:tab w:val="right" w:pos="9026"/>
      </w:tabs>
    </w:pPr>
  </w:style>
  <w:style w:type="character" w:customStyle="1" w:styleId="FooterChar">
    <w:name w:val="Footer Char"/>
    <w:basedOn w:val="DefaultParagraphFont"/>
    <w:link w:val="Footer"/>
    <w:uiPriority w:val="99"/>
    <w:rsid w:val="00580B07"/>
  </w:style>
  <w:style w:type="paragraph" w:styleId="Revision">
    <w:name w:val="Revision"/>
    <w:hidden/>
    <w:uiPriority w:val="99"/>
    <w:semiHidden/>
    <w:rsid w:val="001A3A9C"/>
  </w:style>
  <w:style w:type="character" w:styleId="FollowedHyperlink">
    <w:name w:val="FollowedHyperlink"/>
    <w:basedOn w:val="DefaultParagraphFont"/>
    <w:uiPriority w:val="99"/>
    <w:semiHidden/>
    <w:unhideWhenUsed/>
    <w:rsid w:val="00F706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969">
      <w:bodyDiv w:val="1"/>
      <w:marLeft w:val="0"/>
      <w:marRight w:val="0"/>
      <w:marTop w:val="0"/>
      <w:marBottom w:val="0"/>
      <w:divBdr>
        <w:top w:val="none" w:sz="0" w:space="0" w:color="auto"/>
        <w:left w:val="none" w:sz="0" w:space="0" w:color="auto"/>
        <w:bottom w:val="none" w:sz="0" w:space="0" w:color="auto"/>
        <w:right w:val="none" w:sz="0" w:space="0" w:color="auto"/>
      </w:divBdr>
    </w:div>
    <w:div w:id="67773318">
      <w:bodyDiv w:val="1"/>
      <w:marLeft w:val="0"/>
      <w:marRight w:val="0"/>
      <w:marTop w:val="0"/>
      <w:marBottom w:val="0"/>
      <w:divBdr>
        <w:top w:val="none" w:sz="0" w:space="0" w:color="auto"/>
        <w:left w:val="none" w:sz="0" w:space="0" w:color="auto"/>
        <w:bottom w:val="none" w:sz="0" w:space="0" w:color="auto"/>
        <w:right w:val="none" w:sz="0" w:space="0" w:color="auto"/>
      </w:divBdr>
    </w:div>
    <w:div w:id="239408448">
      <w:bodyDiv w:val="1"/>
      <w:marLeft w:val="0"/>
      <w:marRight w:val="0"/>
      <w:marTop w:val="0"/>
      <w:marBottom w:val="0"/>
      <w:divBdr>
        <w:top w:val="none" w:sz="0" w:space="0" w:color="auto"/>
        <w:left w:val="none" w:sz="0" w:space="0" w:color="auto"/>
        <w:bottom w:val="none" w:sz="0" w:space="0" w:color="auto"/>
        <w:right w:val="none" w:sz="0" w:space="0" w:color="auto"/>
      </w:divBdr>
    </w:div>
    <w:div w:id="239415340">
      <w:bodyDiv w:val="1"/>
      <w:marLeft w:val="0"/>
      <w:marRight w:val="0"/>
      <w:marTop w:val="0"/>
      <w:marBottom w:val="0"/>
      <w:divBdr>
        <w:top w:val="none" w:sz="0" w:space="0" w:color="auto"/>
        <w:left w:val="none" w:sz="0" w:space="0" w:color="auto"/>
        <w:bottom w:val="none" w:sz="0" w:space="0" w:color="auto"/>
        <w:right w:val="none" w:sz="0" w:space="0" w:color="auto"/>
      </w:divBdr>
    </w:div>
    <w:div w:id="326978517">
      <w:bodyDiv w:val="1"/>
      <w:marLeft w:val="0"/>
      <w:marRight w:val="0"/>
      <w:marTop w:val="0"/>
      <w:marBottom w:val="0"/>
      <w:divBdr>
        <w:top w:val="none" w:sz="0" w:space="0" w:color="auto"/>
        <w:left w:val="none" w:sz="0" w:space="0" w:color="auto"/>
        <w:bottom w:val="none" w:sz="0" w:space="0" w:color="auto"/>
        <w:right w:val="none" w:sz="0" w:space="0" w:color="auto"/>
      </w:divBdr>
    </w:div>
    <w:div w:id="416484510">
      <w:bodyDiv w:val="1"/>
      <w:marLeft w:val="0"/>
      <w:marRight w:val="0"/>
      <w:marTop w:val="0"/>
      <w:marBottom w:val="0"/>
      <w:divBdr>
        <w:top w:val="none" w:sz="0" w:space="0" w:color="auto"/>
        <w:left w:val="none" w:sz="0" w:space="0" w:color="auto"/>
        <w:bottom w:val="none" w:sz="0" w:space="0" w:color="auto"/>
        <w:right w:val="none" w:sz="0" w:space="0" w:color="auto"/>
      </w:divBdr>
    </w:div>
    <w:div w:id="514734004">
      <w:bodyDiv w:val="1"/>
      <w:marLeft w:val="0"/>
      <w:marRight w:val="0"/>
      <w:marTop w:val="0"/>
      <w:marBottom w:val="0"/>
      <w:divBdr>
        <w:top w:val="none" w:sz="0" w:space="0" w:color="auto"/>
        <w:left w:val="none" w:sz="0" w:space="0" w:color="auto"/>
        <w:bottom w:val="none" w:sz="0" w:space="0" w:color="auto"/>
        <w:right w:val="none" w:sz="0" w:space="0" w:color="auto"/>
      </w:divBdr>
      <w:divsChild>
        <w:div w:id="1118254522">
          <w:marLeft w:val="0"/>
          <w:marRight w:val="0"/>
          <w:marTop w:val="0"/>
          <w:marBottom w:val="0"/>
          <w:divBdr>
            <w:top w:val="none" w:sz="0" w:space="0" w:color="auto"/>
            <w:left w:val="none" w:sz="0" w:space="0" w:color="auto"/>
            <w:bottom w:val="none" w:sz="0" w:space="0" w:color="auto"/>
            <w:right w:val="none" w:sz="0" w:space="0" w:color="auto"/>
          </w:divBdr>
        </w:div>
        <w:div w:id="947736642">
          <w:marLeft w:val="0"/>
          <w:marRight w:val="0"/>
          <w:marTop w:val="0"/>
          <w:marBottom w:val="0"/>
          <w:divBdr>
            <w:top w:val="none" w:sz="0" w:space="0" w:color="auto"/>
            <w:left w:val="none" w:sz="0" w:space="0" w:color="auto"/>
            <w:bottom w:val="none" w:sz="0" w:space="0" w:color="auto"/>
            <w:right w:val="none" w:sz="0" w:space="0" w:color="auto"/>
          </w:divBdr>
        </w:div>
        <w:div w:id="397437588">
          <w:marLeft w:val="0"/>
          <w:marRight w:val="0"/>
          <w:marTop w:val="0"/>
          <w:marBottom w:val="0"/>
          <w:divBdr>
            <w:top w:val="none" w:sz="0" w:space="0" w:color="auto"/>
            <w:left w:val="none" w:sz="0" w:space="0" w:color="auto"/>
            <w:bottom w:val="none" w:sz="0" w:space="0" w:color="auto"/>
            <w:right w:val="none" w:sz="0" w:space="0" w:color="auto"/>
          </w:divBdr>
        </w:div>
        <w:div w:id="1193961521">
          <w:marLeft w:val="0"/>
          <w:marRight w:val="0"/>
          <w:marTop w:val="0"/>
          <w:marBottom w:val="0"/>
          <w:divBdr>
            <w:top w:val="none" w:sz="0" w:space="0" w:color="auto"/>
            <w:left w:val="none" w:sz="0" w:space="0" w:color="auto"/>
            <w:bottom w:val="none" w:sz="0" w:space="0" w:color="auto"/>
            <w:right w:val="none" w:sz="0" w:space="0" w:color="auto"/>
          </w:divBdr>
        </w:div>
        <w:div w:id="1276475551">
          <w:marLeft w:val="0"/>
          <w:marRight w:val="0"/>
          <w:marTop w:val="0"/>
          <w:marBottom w:val="0"/>
          <w:divBdr>
            <w:top w:val="none" w:sz="0" w:space="0" w:color="auto"/>
            <w:left w:val="none" w:sz="0" w:space="0" w:color="auto"/>
            <w:bottom w:val="none" w:sz="0" w:space="0" w:color="auto"/>
            <w:right w:val="none" w:sz="0" w:space="0" w:color="auto"/>
          </w:divBdr>
        </w:div>
        <w:div w:id="268977513">
          <w:marLeft w:val="0"/>
          <w:marRight w:val="0"/>
          <w:marTop w:val="0"/>
          <w:marBottom w:val="0"/>
          <w:divBdr>
            <w:top w:val="none" w:sz="0" w:space="0" w:color="auto"/>
            <w:left w:val="none" w:sz="0" w:space="0" w:color="auto"/>
            <w:bottom w:val="none" w:sz="0" w:space="0" w:color="auto"/>
            <w:right w:val="none" w:sz="0" w:space="0" w:color="auto"/>
          </w:divBdr>
        </w:div>
        <w:div w:id="2062827398">
          <w:marLeft w:val="0"/>
          <w:marRight w:val="0"/>
          <w:marTop w:val="0"/>
          <w:marBottom w:val="0"/>
          <w:divBdr>
            <w:top w:val="none" w:sz="0" w:space="0" w:color="auto"/>
            <w:left w:val="none" w:sz="0" w:space="0" w:color="auto"/>
            <w:bottom w:val="none" w:sz="0" w:space="0" w:color="auto"/>
            <w:right w:val="none" w:sz="0" w:space="0" w:color="auto"/>
          </w:divBdr>
        </w:div>
        <w:div w:id="22441069">
          <w:marLeft w:val="0"/>
          <w:marRight w:val="0"/>
          <w:marTop w:val="0"/>
          <w:marBottom w:val="0"/>
          <w:divBdr>
            <w:top w:val="none" w:sz="0" w:space="0" w:color="auto"/>
            <w:left w:val="none" w:sz="0" w:space="0" w:color="auto"/>
            <w:bottom w:val="none" w:sz="0" w:space="0" w:color="auto"/>
            <w:right w:val="none" w:sz="0" w:space="0" w:color="auto"/>
          </w:divBdr>
        </w:div>
        <w:div w:id="1038121902">
          <w:marLeft w:val="0"/>
          <w:marRight w:val="0"/>
          <w:marTop w:val="0"/>
          <w:marBottom w:val="0"/>
          <w:divBdr>
            <w:top w:val="none" w:sz="0" w:space="0" w:color="auto"/>
            <w:left w:val="none" w:sz="0" w:space="0" w:color="auto"/>
            <w:bottom w:val="none" w:sz="0" w:space="0" w:color="auto"/>
            <w:right w:val="none" w:sz="0" w:space="0" w:color="auto"/>
          </w:divBdr>
        </w:div>
        <w:div w:id="2078045281">
          <w:marLeft w:val="0"/>
          <w:marRight w:val="0"/>
          <w:marTop w:val="0"/>
          <w:marBottom w:val="0"/>
          <w:divBdr>
            <w:top w:val="none" w:sz="0" w:space="0" w:color="auto"/>
            <w:left w:val="none" w:sz="0" w:space="0" w:color="auto"/>
            <w:bottom w:val="none" w:sz="0" w:space="0" w:color="auto"/>
            <w:right w:val="none" w:sz="0" w:space="0" w:color="auto"/>
          </w:divBdr>
        </w:div>
        <w:div w:id="1211959464">
          <w:marLeft w:val="0"/>
          <w:marRight w:val="0"/>
          <w:marTop w:val="0"/>
          <w:marBottom w:val="0"/>
          <w:divBdr>
            <w:top w:val="none" w:sz="0" w:space="0" w:color="auto"/>
            <w:left w:val="none" w:sz="0" w:space="0" w:color="auto"/>
            <w:bottom w:val="none" w:sz="0" w:space="0" w:color="auto"/>
            <w:right w:val="none" w:sz="0" w:space="0" w:color="auto"/>
          </w:divBdr>
        </w:div>
      </w:divsChild>
    </w:div>
    <w:div w:id="562563378">
      <w:bodyDiv w:val="1"/>
      <w:marLeft w:val="0"/>
      <w:marRight w:val="0"/>
      <w:marTop w:val="0"/>
      <w:marBottom w:val="0"/>
      <w:divBdr>
        <w:top w:val="none" w:sz="0" w:space="0" w:color="auto"/>
        <w:left w:val="none" w:sz="0" w:space="0" w:color="auto"/>
        <w:bottom w:val="none" w:sz="0" w:space="0" w:color="auto"/>
        <w:right w:val="none" w:sz="0" w:space="0" w:color="auto"/>
      </w:divBdr>
    </w:div>
    <w:div w:id="649556656">
      <w:bodyDiv w:val="1"/>
      <w:marLeft w:val="0"/>
      <w:marRight w:val="0"/>
      <w:marTop w:val="0"/>
      <w:marBottom w:val="0"/>
      <w:divBdr>
        <w:top w:val="none" w:sz="0" w:space="0" w:color="auto"/>
        <w:left w:val="none" w:sz="0" w:space="0" w:color="auto"/>
        <w:bottom w:val="none" w:sz="0" w:space="0" w:color="auto"/>
        <w:right w:val="none" w:sz="0" w:space="0" w:color="auto"/>
      </w:divBdr>
    </w:div>
    <w:div w:id="815875649">
      <w:bodyDiv w:val="1"/>
      <w:marLeft w:val="0"/>
      <w:marRight w:val="0"/>
      <w:marTop w:val="0"/>
      <w:marBottom w:val="0"/>
      <w:divBdr>
        <w:top w:val="none" w:sz="0" w:space="0" w:color="auto"/>
        <w:left w:val="none" w:sz="0" w:space="0" w:color="auto"/>
        <w:bottom w:val="none" w:sz="0" w:space="0" w:color="auto"/>
        <w:right w:val="none" w:sz="0" w:space="0" w:color="auto"/>
      </w:divBdr>
    </w:div>
    <w:div w:id="909534984">
      <w:bodyDiv w:val="1"/>
      <w:marLeft w:val="0"/>
      <w:marRight w:val="0"/>
      <w:marTop w:val="0"/>
      <w:marBottom w:val="0"/>
      <w:divBdr>
        <w:top w:val="none" w:sz="0" w:space="0" w:color="auto"/>
        <w:left w:val="none" w:sz="0" w:space="0" w:color="auto"/>
        <w:bottom w:val="none" w:sz="0" w:space="0" w:color="auto"/>
        <w:right w:val="none" w:sz="0" w:space="0" w:color="auto"/>
      </w:divBdr>
    </w:div>
    <w:div w:id="1150899672">
      <w:bodyDiv w:val="1"/>
      <w:marLeft w:val="0"/>
      <w:marRight w:val="0"/>
      <w:marTop w:val="0"/>
      <w:marBottom w:val="0"/>
      <w:divBdr>
        <w:top w:val="none" w:sz="0" w:space="0" w:color="auto"/>
        <w:left w:val="none" w:sz="0" w:space="0" w:color="auto"/>
        <w:bottom w:val="none" w:sz="0" w:space="0" w:color="auto"/>
        <w:right w:val="none" w:sz="0" w:space="0" w:color="auto"/>
      </w:divBdr>
    </w:div>
    <w:div w:id="1164856606">
      <w:bodyDiv w:val="1"/>
      <w:marLeft w:val="0"/>
      <w:marRight w:val="0"/>
      <w:marTop w:val="0"/>
      <w:marBottom w:val="0"/>
      <w:divBdr>
        <w:top w:val="none" w:sz="0" w:space="0" w:color="auto"/>
        <w:left w:val="none" w:sz="0" w:space="0" w:color="auto"/>
        <w:bottom w:val="none" w:sz="0" w:space="0" w:color="auto"/>
        <w:right w:val="none" w:sz="0" w:space="0" w:color="auto"/>
      </w:divBdr>
    </w:div>
    <w:div w:id="1313488932">
      <w:bodyDiv w:val="1"/>
      <w:marLeft w:val="0"/>
      <w:marRight w:val="0"/>
      <w:marTop w:val="0"/>
      <w:marBottom w:val="0"/>
      <w:divBdr>
        <w:top w:val="none" w:sz="0" w:space="0" w:color="auto"/>
        <w:left w:val="none" w:sz="0" w:space="0" w:color="auto"/>
        <w:bottom w:val="none" w:sz="0" w:space="0" w:color="auto"/>
        <w:right w:val="none" w:sz="0" w:space="0" w:color="auto"/>
      </w:divBdr>
    </w:div>
    <w:div w:id="1317151317">
      <w:bodyDiv w:val="1"/>
      <w:marLeft w:val="0"/>
      <w:marRight w:val="0"/>
      <w:marTop w:val="0"/>
      <w:marBottom w:val="0"/>
      <w:divBdr>
        <w:top w:val="none" w:sz="0" w:space="0" w:color="auto"/>
        <w:left w:val="none" w:sz="0" w:space="0" w:color="auto"/>
        <w:bottom w:val="none" w:sz="0" w:space="0" w:color="auto"/>
        <w:right w:val="none" w:sz="0" w:space="0" w:color="auto"/>
      </w:divBdr>
    </w:div>
    <w:div w:id="1393314691">
      <w:bodyDiv w:val="1"/>
      <w:marLeft w:val="0"/>
      <w:marRight w:val="0"/>
      <w:marTop w:val="0"/>
      <w:marBottom w:val="0"/>
      <w:divBdr>
        <w:top w:val="none" w:sz="0" w:space="0" w:color="auto"/>
        <w:left w:val="none" w:sz="0" w:space="0" w:color="auto"/>
        <w:bottom w:val="none" w:sz="0" w:space="0" w:color="auto"/>
        <w:right w:val="none" w:sz="0" w:space="0" w:color="auto"/>
      </w:divBdr>
    </w:div>
    <w:div w:id="1409576087">
      <w:bodyDiv w:val="1"/>
      <w:marLeft w:val="0"/>
      <w:marRight w:val="0"/>
      <w:marTop w:val="0"/>
      <w:marBottom w:val="0"/>
      <w:divBdr>
        <w:top w:val="none" w:sz="0" w:space="0" w:color="auto"/>
        <w:left w:val="none" w:sz="0" w:space="0" w:color="auto"/>
        <w:bottom w:val="none" w:sz="0" w:space="0" w:color="auto"/>
        <w:right w:val="none" w:sz="0" w:space="0" w:color="auto"/>
      </w:divBdr>
    </w:div>
    <w:div w:id="1429539697">
      <w:bodyDiv w:val="1"/>
      <w:marLeft w:val="0"/>
      <w:marRight w:val="0"/>
      <w:marTop w:val="0"/>
      <w:marBottom w:val="0"/>
      <w:divBdr>
        <w:top w:val="none" w:sz="0" w:space="0" w:color="auto"/>
        <w:left w:val="none" w:sz="0" w:space="0" w:color="auto"/>
        <w:bottom w:val="none" w:sz="0" w:space="0" w:color="auto"/>
        <w:right w:val="none" w:sz="0" w:space="0" w:color="auto"/>
      </w:divBdr>
    </w:div>
    <w:div w:id="1446920204">
      <w:bodyDiv w:val="1"/>
      <w:marLeft w:val="0"/>
      <w:marRight w:val="0"/>
      <w:marTop w:val="0"/>
      <w:marBottom w:val="0"/>
      <w:divBdr>
        <w:top w:val="none" w:sz="0" w:space="0" w:color="auto"/>
        <w:left w:val="none" w:sz="0" w:space="0" w:color="auto"/>
        <w:bottom w:val="none" w:sz="0" w:space="0" w:color="auto"/>
        <w:right w:val="none" w:sz="0" w:space="0" w:color="auto"/>
      </w:divBdr>
    </w:div>
    <w:div w:id="1456019517">
      <w:bodyDiv w:val="1"/>
      <w:marLeft w:val="0"/>
      <w:marRight w:val="0"/>
      <w:marTop w:val="0"/>
      <w:marBottom w:val="0"/>
      <w:divBdr>
        <w:top w:val="none" w:sz="0" w:space="0" w:color="auto"/>
        <w:left w:val="none" w:sz="0" w:space="0" w:color="auto"/>
        <w:bottom w:val="none" w:sz="0" w:space="0" w:color="auto"/>
        <w:right w:val="none" w:sz="0" w:space="0" w:color="auto"/>
      </w:divBdr>
    </w:div>
    <w:div w:id="1481843950">
      <w:bodyDiv w:val="1"/>
      <w:marLeft w:val="0"/>
      <w:marRight w:val="0"/>
      <w:marTop w:val="0"/>
      <w:marBottom w:val="0"/>
      <w:divBdr>
        <w:top w:val="none" w:sz="0" w:space="0" w:color="auto"/>
        <w:left w:val="none" w:sz="0" w:space="0" w:color="auto"/>
        <w:bottom w:val="none" w:sz="0" w:space="0" w:color="auto"/>
        <w:right w:val="none" w:sz="0" w:space="0" w:color="auto"/>
      </w:divBdr>
      <w:divsChild>
        <w:div w:id="1697583534">
          <w:marLeft w:val="0"/>
          <w:marRight w:val="0"/>
          <w:marTop w:val="0"/>
          <w:marBottom w:val="0"/>
          <w:divBdr>
            <w:top w:val="none" w:sz="0" w:space="0" w:color="auto"/>
            <w:left w:val="none" w:sz="0" w:space="0" w:color="auto"/>
            <w:bottom w:val="none" w:sz="0" w:space="0" w:color="auto"/>
            <w:right w:val="none" w:sz="0" w:space="0" w:color="auto"/>
          </w:divBdr>
        </w:div>
        <w:div w:id="1746611509">
          <w:marLeft w:val="0"/>
          <w:marRight w:val="0"/>
          <w:marTop w:val="0"/>
          <w:marBottom w:val="0"/>
          <w:divBdr>
            <w:top w:val="none" w:sz="0" w:space="0" w:color="auto"/>
            <w:left w:val="none" w:sz="0" w:space="0" w:color="auto"/>
            <w:bottom w:val="none" w:sz="0" w:space="0" w:color="auto"/>
            <w:right w:val="none" w:sz="0" w:space="0" w:color="auto"/>
          </w:divBdr>
        </w:div>
        <w:div w:id="1427967324">
          <w:marLeft w:val="0"/>
          <w:marRight w:val="0"/>
          <w:marTop w:val="0"/>
          <w:marBottom w:val="0"/>
          <w:divBdr>
            <w:top w:val="none" w:sz="0" w:space="0" w:color="auto"/>
            <w:left w:val="none" w:sz="0" w:space="0" w:color="auto"/>
            <w:bottom w:val="none" w:sz="0" w:space="0" w:color="auto"/>
            <w:right w:val="none" w:sz="0" w:space="0" w:color="auto"/>
          </w:divBdr>
        </w:div>
        <w:div w:id="291181333">
          <w:marLeft w:val="0"/>
          <w:marRight w:val="0"/>
          <w:marTop w:val="0"/>
          <w:marBottom w:val="0"/>
          <w:divBdr>
            <w:top w:val="none" w:sz="0" w:space="0" w:color="auto"/>
            <w:left w:val="none" w:sz="0" w:space="0" w:color="auto"/>
            <w:bottom w:val="none" w:sz="0" w:space="0" w:color="auto"/>
            <w:right w:val="none" w:sz="0" w:space="0" w:color="auto"/>
          </w:divBdr>
        </w:div>
        <w:div w:id="650867508">
          <w:marLeft w:val="0"/>
          <w:marRight w:val="0"/>
          <w:marTop w:val="0"/>
          <w:marBottom w:val="0"/>
          <w:divBdr>
            <w:top w:val="none" w:sz="0" w:space="0" w:color="auto"/>
            <w:left w:val="none" w:sz="0" w:space="0" w:color="auto"/>
            <w:bottom w:val="none" w:sz="0" w:space="0" w:color="auto"/>
            <w:right w:val="none" w:sz="0" w:space="0" w:color="auto"/>
          </w:divBdr>
        </w:div>
        <w:div w:id="703018256">
          <w:marLeft w:val="0"/>
          <w:marRight w:val="0"/>
          <w:marTop w:val="0"/>
          <w:marBottom w:val="0"/>
          <w:divBdr>
            <w:top w:val="none" w:sz="0" w:space="0" w:color="auto"/>
            <w:left w:val="none" w:sz="0" w:space="0" w:color="auto"/>
            <w:bottom w:val="none" w:sz="0" w:space="0" w:color="auto"/>
            <w:right w:val="none" w:sz="0" w:space="0" w:color="auto"/>
          </w:divBdr>
        </w:div>
        <w:div w:id="1120298717">
          <w:marLeft w:val="0"/>
          <w:marRight w:val="0"/>
          <w:marTop w:val="0"/>
          <w:marBottom w:val="0"/>
          <w:divBdr>
            <w:top w:val="none" w:sz="0" w:space="0" w:color="auto"/>
            <w:left w:val="none" w:sz="0" w:space="0" w:color="auto"/>
            <w:bottom w:val="none" w:sz="0" w:space="0" w:color="auto"/>
            <w:right w:val="none" w:sz="0" w:space="0" w:color="auto"/>
          </w:divBdr>
        </w:div>
        <w:div w:id="1117337425">
          <w:marLeft w:val="0"/>
          <w:marRight w:val="0"/>
          <w:marTop w:val="0"/>
          <w:marBottom w:val="0"/>
          <w:divBdr>
            <w:top w:val="none" w:sz="0" w:space="0" w:color="auto"/>
            <w:left w:val="none" w:sz="0" w:space="0" w:color="auto"/>
            <w:bottom w:val="none" w:sz="0" w:space="0" w:color="auto"/>
            <w:right w:val="none" w:sz="0" w:space="0" w:color="auto"/>
          </w:divBdr>
        </w:div>
        <w:div w:id="803348758">
          <w:marLeft w:val="0"/>
          <w:marRight w:val="0"/>
          <w:marTop w:val="0"/>
          <w:marBottom w:val="0"/>
          <w:divBdr>
            <w:top w:val="none" w:sz="0" w:space="0" w:color="auto"/>
            <w:left w:val="none" w:sz="0" w:space="0" w:color="auto"/>
            <w:bottom w:val="none" w:sz="0" w:space="0" w:color="auto"/>
            <w:right w:val="none" w:sz="0" w:space="0" w:color="auto"/>
          </w:divBdr>
        </w:div>
        <w:div w:id="1254047400">
          <w:marLeft w:val="0"/>
          <w:marRight w:val="0"/>
          <w:marTop w:val="0"/>
          <w:marBottom w:val="0"/>
          <w:divBdr>
            <w:top w:val="none" w:sz="0" w:space="0" w:color="auto"/>
            <w:left w:val="none" w:sz="0" w:space="0" w:color="auto"/>
            <w:bottom w:val="none" w:sz="0" w:space="0" w:color="auto"/>
            <w:right w:val="none" w:sz="0" w:space="0" w:color="auto"/>
          </w:divBdr>
        </w:div>
        <w:div w:id="1306087105">
          <w:marLeft w:val="0"/>
          <w:marRight w:val="0"/>
          <w:marTop w:val="0"/>
          <w:marBottom w:val="0"/>
          <w:divBdr>
            <w:top w:val="none" w:sz="0" w:space="0" w:color="auto"/>
            <w:left w:val="none" w:sz="0" w:space="0" w:color="auto"/>
            <w:bottom w:val="none" w:sz="0" w:space="0" w:color="auto"/>
            <w:right w:val="none" w:sz="0" w:space="0" w:color="auto"/>
          </w:divBdr>
        </w:div>
      </w:divsChild>
    </w:div>
    <w:div w:id="1505709311">
      <w:bodyDiv w:val="1"/>
      <w:marLeft w:val="0"/>
      <w:marRight w:val="0"/>
      <w:marTop w:val="0"/>
      <w:marBottom w:val="0"/>
      <w:divBdr>
        <w:top w:val="none" w:sz="0" w:space="0" w:color="auto"/>
        <w:left w:val="none" w:sz="0" w:space="0" w:color="auto"/>
        <w:bottom w:val="none" w:sz="0" w:space="0" w:color="auto"/>
        <w:right w:val="none" w:sz="0" w:space="0" w:color="auto"/>
      </w:divBdr>
    </w:div>
    <w:div w:id="1563755335">
      <w:bodyDiv w:val="1"/>
      <w:marLeft w:val="0"/>
      <w:marRight w:val="0"/>
      <w:marTop w:val="0"/>
      <w:marBottom w:val="0"/>
      <w:divBdr>
        <w:top w:val="none" w:sz="0" w:space="0" w:color="auto"/>
        <w:left w:val="none" w:sz="0" w:space="0" w:color="auto"/>
        <w:bottom w:val="none" w:sz="0" w:space="0" w:color="auto"/>
        <w:right w:val="none" w:sz="0" w:space="0" w:color="auto"/>
      </w:divBdr>
    </w:div>
    <w:div w:id="1616981259">
      <w:bodyDiv w:val="1"/>
      <w:marLeft w:val="0"/>
      <w:marRight w:val="0"/>
      <w:marTop w:val="0"/>
      <w:marBottom w:val="0"/>
      <w:divBdr>
        <w:top w:val="none" w:sz="0" w:space="0" w:color="auto"/>
        <w:left w:val="none" w:sz="0" w:space="0" w:color="auto"/>
        <w:bottom w:val="none" w:sz="0" w:space="0" w:color="auto"/>
        <w:right w:val="none" w:sz="0" w:space="0" w:color="auto"/>
      </w:divBdr>
    </w:div>
    <w:div w:id="1783114376">
      <w:bodyDiv w:val="1"/>
      <w:marLeft w:val="0"/>
      <w:marRight w:val="0"/>
      <w:marTop w:val="0"/>
      <w:marBottom w:val="0"/>
      <w:divBdr>
        <w:top w:val="none" w:sz="0" w:space="0" w:color="auto"/>
        <w:left w:val="none" w:sz="0" w:space="0" w:color="auto"/>
        <w:bottom w:val="none" w:sz="0" w:space="0" w:color="auto"/>
        <w:right w:val="none" w:sz="0" w:space="0" w:color="auto"/>
      </w:divBdr>
    </w:div>
    <w:div w:id="1820224532">
      <w:bodyDiv w:val="1"/>
      <w:marLeft w:val="0"/>
      <w:marRight w:val="0"/>
      <w:marTop w:val="0"/>
      <w:marBottom w:val="0"/>
      <w:divBdr>
        <w:top w:val="none" w:sz="0" w:space="0" w:color="auto"/>
        <w:left w:val="none" w:sz="0" w:space="0" w:color="auto"/>
        <w:bottom w:val="none" w:sz="0" w:space="0" w:color="auto"/>
        <w:right w:val="none" w:sz="0" w:space="0" w:color="auto"/>
      </w:divBdr>
    </w:div>
    <w:div w:id="1906990499">
      <w:bodyDiv w:val="1"/>
      <w:marLeft w:val="0"/>
      <w:marRight w:val="0"/>
      <w:marTop w:val="0"/>
      <w:marBottom w:val="0"/>
      <w:divBdr>
        <w:top w:val="none" w:sz="0" w:space="0" w:color="auto"/>
        <w:left w:val="none" w:sz="0" w:space="0" w:color="auto"/>
        <w:bottom w:val="none" w:sz="0" w:space="0" w:color="auto"/>
        <w:right w:val="none" w:sz="0" w:space="0" w:color="auto"/>
      </w:divBdr>
    </w:div>
    <w:div w:id="1961107386">
      <w:bodyDiv w:val="1"/>
      <w:marLeft w:val="0"/>
      <w:marRight w:val="0"/>
      <w:marTop w:val="0"/>
      <w:marBottom w:val="0"/>
      <w:divBdr>
        <w:top w:val="none" w:sz="0" w:space="0" w:color="auto"/>
        <w:left w:val="none" w:sz="0" w:space="0" w:color="auto"/>
        <w:bottom w:val="none" w:sz="0" w:space="0" w:color="auto"/>
        <w:right w:val="none" w:sz="0" w:space="0" w:color="auto"/>
      </w:divBdr>
    </w:div>
    <w:div w:id="2062484997">
      <w:bodyDiv w:val="1"/>
      <w:marLeft w:val="0"/>
      <w:marRight w:val="0"/>
      <w:marTop w:val="0"/>
      <w:marBottom w:val="0"/>
      <w:divBdr>
        <w:top w:val="none" w:sz="0" w:space="0" w:color="auto"/>
        <w:left w:val="none" w:sz="0" w:space="0" w:color="auto"/>
        <w:bottom w:val="none" w:sz="0" w:space="0" w:color="auto"/>
        <w:right w:val="none" w:sz="0" w:space="0" w:color="auto"/>
      </w:divBdr>
    </w:div>
    <w:div w:id="2094206408">
      <w:bodyDiv w:val="1"/>
      <w:marLeft w:val="0"/>
      <w:marRight w:val="0"/>
      <w:marTop w:val="0"/>
      <w:marBottom w:val="0"/>
      <w:divBdr>
        <w:top w:val="none" w:sz="0" w:space="0" w:color="auto"/>
        <w:left w:val="none" w:sz="0" w:space="0" w:color="auto"/>
        <w:bottom w:val="none" w:sz="0" w:space="0" w:color="auto"/>
        <w:right w:val="none" w:sz="0" w:space="0" w:color="auto"/>
      </w:divBdr>
    </w:div>
    <w:div w:id="21360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ke.brown@socialworkscotland.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osla.gov.uk/news/2026/january/scottish-budget-delivers-cut-to-social-care,-warns-cosla2" TargetMode="External"/><Relationship Id="rId3" Type="http://schemas.openxmlformats.org/officeDocument/2006/relationships/hyperlink" Target="https://www.gov.scot/publications/local-government-finance-circular-2-2026-final-settlement-for-2026-to-2027/" TargetMode="External"/><Relationship Id="rId7" Type="http://schemas.openxmlformats.org/officeDocument/2006/relationships/hyperlink" Target="https://www.cosla.gov.uk/news/2026/january/cosla-resources-spokesperson-writes-to-cabinet-secretary-for-finance-and-local-governmen" TargetMode="External"/><Relationship Id="rId12" Type="http://schemas.openxmlformats.org/officeDocument/2006/relationships/hyperlink" Target="https://socialworkscotland.org/reports/funding-for-local-government-social-work-and-social-care-services-in-2026-27/" TargetMode="External"/><Relationship Id="rId2" Type="http://schemas.openxmlformats.org/officeDocument/2006/relationships/hyperlink" Target="https://www.gov.scot/publications/scottish-local-government-finance-green-book-2026-27/" TargetMode="External"/><Relationship Id="rId1" Type="http://schemas.openxmlformats.org/officeDocument/2006/relationships/hyperlink" Target="https://socialworkscotland.org/reports/funding-for-local-government-social-work-and-social-care-services-in-2026-27/" TargetMode="External"/><Relationship Id="rId6" Type="http://schemas.openxmlformats.org/officeDocument/2006/relationships/hyperlink" Target="https://www.gov.scot/publications/policy-note-care-leaver-payment-scotland-regulations-2026-draft/" TargetMode="External"/><Relationship Id="rId11" Type="http://schemas.openxmlformats.org/officeDocument/2006/relationships/hyperlink" Target="https://www.gov.scot/publications/scottish-local-government-finance-green-book-2026-27/" TargetMode="External"/><Relationship Id="rId5" Type="http://schemas.openxmlformats.org/officeDocument/2006/relationships/hyperlink" Target="https://www.legislation.gov.uk/sdsi/2026/9780111065105/contents" TargetMode="External"/><Relationship Id="rId10" Type="http://schemas.openxmlformats.org/officeDocument/2006/relationships/hyperlink" Target="https://socialworkscotland.org/reports/a-call-to-action-scotland-in-your-hands/" TargetMode="External"/><Relationship Id="rId4" Type="http://schemas.openxmlformats.org/officeDocument/2006/relationships/hyperlink" Target="https://www.livingwage.org.uk/calculating-real-living-wage-london-and-rest-uk-2025" TargetMode="External"/><Relationship Id="rId9" Type="http://schemas.openxmlformats.org/officeDocument/2006/relationships/hyperlink" Target="https://socialworkscotland.org/reports/the-state-and-future-of-social-work-and-social-care-funding-in-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3F92B-E20D-4016-BC19-1E07AFB5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Pages>9</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Brown</dc:creator>
  <cp:keywords/>
  <dc:description/>
  <cp:lastModifiedBy>Mike Brown</cp:lastModifiedBy>
  <cp:revision>30</cp:revision>
  <cp:lastPrinted>2026-01-27T18:18:00Z</cp:lastPrinted>
  <dcterms:created xsi:type="dcterms:W3CDTF">2026-03-06T09:31:00Z</dcterms:created>
  <dcterms:modified xsi:type="dcterms:W3CDTF">2026-03-09T08:29:00Z</dcterms:modified>
</cp:coreProperties>
</file>